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38F5" w:rsidRDefault="005538F5" w:rsidP="00F253B4">
      <w:pPr>
        <w:pStyle w:val="Heading1a"/>
        <w:spacing w:line="360" w:lineRule="auto"/>
        <w:ind w:left="360" w:firstLine="360"/>
      </w:pPr>
      <w:r>
        <w:t>Regulation of Health Care Professionals</w:t>
      </w:r>
    </w:p>
    <w:p w:rsidR="005538F5" w:rsidRDefault="005538F5" w:rsidP="00F253B4">
      <w:pPr>
        <w:spacing w:line="360" w:lineRule="auto"/>
        <w:rPr>
          <w:iCs/>
        </w:rPr>
      </w:pPr>
    </w:p>
    <w:p w:rsidR="005538F5" w:rsidRPr="009D067A" w:rsidRDefault="005538F5" w:rsidP="00F253B4">
      <w:pPr>
        <w:pBdr>
          <w:top w:val="single" w:sz="4" w:space="1" w:color="auto"/>
          <w:left w:val="single" w:sz="4" w:space="4" w:color="auto"/>
          <w:bottom w:val="single" w:sz="4" w:space="1" w:color="auto"/>
          <w:right w:val="single" w:sz="4" w:space="4" w:color="auto"/>
        </w:pBdr>
        <w:spacing w:line="360" w:lineRule="auto"/>
        <w:jc w:val="center"/>
      </w:pPr>
      <w:r w:rsidRPr="005538F5">
        <w:rPr>
          <w:iCs/>
        </w:rPr>
        <w:t xml:space="preserve">These avenues of redress may be followed </w:t>
      </w:r>
      <w:r w:rsidRPr="005538F5">
        <w:rPr>
          <w:i/>
          <w:iCs/>
          <w:u w:val="single"/>
        </w:rPr>
        <w:t>in addition</w:t>
      </w:r>
      <w:r w:rsidRPr="005538F5">
        <w:rPr>
          <w:iCs/>
        </w:rPr>
        <w:t xml:space="preserve"> to other civil and criminal actions already available (i.e. negligence/assault)</w:t>
      </w:r>
    </w:p>
    <w:p w:rsidR="005538F5" w:rsidRDefault="005538F5" w:rsidP="00F253B4">
      <w:pPr>
        <w:spacing w:line="360" w:lineRule="auto"/>
      </w:pPr>
    </w:p>
    <w:p w:rsidR="005538F5" w:rsidRDefault="007609B2" w:rsidP="00F253B4">
      <w:pPr>
        <w:pStyle w:val="Heading2a"/>
        <w:numPr>
          <w:ilvl w:val="0"/>
          <w:numId w:val="7"/>
        </w:numPr>
        <w:spacing w:line="360" w:lineRule="auto"/>
      </w:pPr>
      <w:r>
        <w:t>INTRODUCTION</w:t>
      </w:r>
    </w:p>
    <w:p w:rsidR="005538F5" w:rsidRDefault="005538F5" w:rsidP="00F253B4">
      <w:pPr>
        <w:pStyle w:val="ListParagraph"/>
        <w:numPr>
          <w:ilvl w:val="1"/>
          <w:numId w:val="7"/>
        </w:numPr>
        <w:spacing w:line="360" w:lineRule="auto"/>
        <w:rPr>
          <w:iCs/>
        </w:rPr>
      </w:pPr>
      <w:r>
        <w:t xml:space="preserve">The Health Rights Commission was established in response to the </w:t>
      </w:r>
      <w:r w:rsidRPr="005538F5">
        <w:rPr>
          <w:i/>
          <w:iCs/>
        </w:rPr>
        <w:t>Queensland Health Systems Review, 2005</w:t>
      </w:r>
      <w:r w:rsidRPr="005538F5">
        <w:rPr>
          <w:iCs/>
        </w:rPr>
        <w:t xml:space="preserve"> and the </w:t>
      </w:r>
      <w:r w:rsidRPr="005538F5">
        <w:rPr>
          <w:i/>
          <w:iCs/>
        </w:rPr>
        <w:t>Queensland Public Hospital Commission of Inquiry</w:t>
      </w:r>
      <w:r w:rsidRPr="005538F5">
        <w:rPr>
          <w:iCs/>
        </w:rPr>
        <w:t xml:space="preserve"> to remedy complaints made about individual health practitioners and health services.  </w:t>
      </w:r>
    </w:p>
    <w:p w:rsidR="002710B1" w:rsidRPr="005538F5" w:rsidRDefault="002710B1" w:rsidP="00F253B4">
      <w:pPr>
        <w:pStyle w:val="ListParagraph"/>
        <w:numPr>
          <w:ilvl w:val="1"/>
          <w:numId w:val="7"/>
        </w:numPr>
        <w:spacing w:line="360" w:lineRule="auto"/>
        <w:rPr>
          <w:iCs/>
        </w:rPr>
      </w:pPr>
      <w:r>
        <w:rPr>
          <w:iCs/>
        </w:rPr>
        <w:t xml:space="preserve">There is currently a push for a national system of regulation </w:t>
      </w:r>
    </w:p>
    <w:p w:rsidR="005538F5" w:rsidRDefault="005538F5" w:rsidP="00F253B4">
      <w:pPr>
        <w:spacing w:line="360" w:lineRule="auto"/>
        <w:rPr>
          <w:iCs/>
        </w:rPr>
      </w:pPr>
    </w:p>
    <w:p w:rsidR="00A21DAC" w:rsidRPr="007609B2" w:rsidRDefault="007609B2" w:rsidP="00F253B4">
      <w:pPr>
        <w:pStyle w:val="ListParagraph"/>
        <w:numPr>
          <w:ilvl w:val="0"/>
          <w:numId w:val="7"/>
        </w:numPr>
        <w:spacing w:line="360" w:lineRule="auto"/>
        <w:rPr>
          <w:iCs/>
          <w:u w:val="single"/>
        </w:rPr>
      </w:pPr>
      <w:r w:rsidRPr="007609B2">
        <w:rPr>
          <w:b/>
          <w:iCs/>
          <w:u w:val="single"/>
        </w:rPr>
        <w:t xml:space="preserve">BODIES THAT DEAL WITH HEALTH COMPLAINTS </w:t>
      </w:r>
    </w:p>
    <w:p w:rsidR="005538F5" w:rsidRPr="005538F5" w:rsidRDefault="005538F5" w:rsidP="00F253B4">
      <w:pPr>
        <w:pStyle w:val="ListParagraph"/>
        <w:numPr>
          <w:ilvl w:val="1"/>
          <w:numId w:val="7"/>
        </w:numPr>
        <w:spacing w:line="360" w:lineRule="auto"/>
        <w:rPr>
          <w:iCs/>
        </w:rPr>
      </w:pPr>
      <w:r w:rsidRPr="005538F5">
        <w:rPr>
          <w:iCs/>
        </w:rPr>
        <w:t xml:space="preserve">There are four main bodies that deal with health care complaints: </w:t>
      </w:r>
    </w:p>
    <w:p w:rsidR="005538F5" w:rsidRPr="002E5FCC" w:rsidRDefault="002710B1" w:rsidP="00F253B4">
      <w:pPr>
        <w:pStyle w:val="ListParagraph"/>
        <w:numPr>
          <w:ilvl w:val="1"/>
          <w:numId w:val="7"/>
        </w:numPr>
        <w:spacing w:line="360" w:lineRule="auto"/>
      </w:pPr>
      <w:r>
        <w:rPr>
          <w:iCs/>
        </w:rPr>
        <w:t>T</w:t>
      </w:r>
      <w:r w:rsidR="005538F5" w:rsidRPr="002E5FCC">
        <w:rPr>
          <w:iCs/>
        </w:rPr>
        <w:t xml:space="preserve">he Health Quality and Complaints Commission, </w:t>
      </w:r>
    </w:p>
    <w:p w:rsidR="005538F5" w:rsidRPr="002E5FCC" w:rsidRDefault="002710B1" w:rsidP="00F253B4">
      <w:pPr>
        <w:pStyle w:val="ListParagraph"/>
        <w:numPr>
          <w:ilvl w:val="1"/>
          <w:numId w:val="7"/>
        </w:numPr>
        <w:spacing w:line="360" w:lineRule="auto"/>
      </w:pPr>
      <w:r>
        <w:rPr>
          <w:iCs/>
        </w:rPr>
        <w:t>T</w:t>
      </w:r>
      <w:r w:rsidR="005538F5" w:rsidRPr="002E5FCC">
        <w:rPr>
          <w:iCs/>
        </w:rPr>
        <w:t xml:space="preserve">he various professional Boards, </w:t>
      </w:r>
    </w:p>
    <w:p w:rsidR="005538F5" w:rsidRPr="002E5FCC" w:rsidRDefault="002710B1" w:rsidP="00F253B4">
      <w:pPr>
        <w:pStyle w:val="ListParagraph"/>
        <w:numPr>
          <w:ilvl w:val="1"/>
          <w:numId w:val="7"/>
        </w:numPr>
        <w:spacing w:line="360" w:lineRule="auto"/>
      </w:pPr>
      <w:r>
        <w:rPr>
          <w:iCs/>
        </w:rPr>
        <w:t>T</w:t>
      </w:r>
      <w:r w:rsidR="005538F5" w:rsidRPr="002E5FCC">
        <w:rPr>
          <w:iCs/>
        </w:rPr>
        <w:t xml:space="preserve">he Professional Conduct Review Panel and </w:t>
      </w:r>
    </w:p>
    <w:p w:rsidR="005538F5" w:rsidRPr="002710B1" w:rsidRDefault="002710B1" w:rsidP="00F253B4">
      <w:pPr>
        <w:pStyle w:val="ListParagraph"/>
        <w:numPr>
          <w:ilvl w:val="1"/>
          <w:numId w:val="7"/>
        </w:numPr>
        <w:spacing w:line="360" w:lineRule="auto"/>
      </w:pPr>
      <w:r>
        <w:rPr>
          <w:iCs/>
        </w:rPr>
        <w:t>T</w:t>
      </w:r>
      <w:r w:rsidR="005538F5" w:rsidRPr="002E5FCC">
        <w:rPr>
          <w:iCs/>
        </w:rPr>
        <w:t>he Health Practitioners Tribunal.</w:t>
      </w:r>
    </w:p>
    <w:p w:rsidR="002710B1" w:rsidRPr="002710B1" w:rsidRDefault="002710B1" w:rsidP="002710B1">
      <w:pPr>
        <w:pStyle w:val="ListParagraph"/>
        <w:numPr>
          <w:ilvl w:val="2"/>
          <w:numId w:val="7"/>
        </w:numPr>
        <w:spacing w:line="360" w:lineRule="auto"/>
      </w:pPr>
      <w:r>
        <w:rPr>
          <w:iCs/>
        </w:rPr>
        <w:t xml:space="preserve">NOTE: we also have a QLD ombudsman and a guardian that are outside of the system </w:t>
      </w:r>
    </w:p>
    <w:p w:rsidR="002710B1" w:rsidRPr="002E5FCC" w:rsidRDefault="002710B1" w:rsidP="002710B1">
      <w:pPr>
        <w:spacing w:line="360" w:lineRule="auto"/>
      </w:pPr>
    </w:p>
    <w:p w:rsidR="002710B1" w:rsidRDefault="002710B1" w:rsidP="002710B1">
      <w:pPr>
        <w:spacing w:line="360" w:lineRule="auto"/>
        <w:jc w:val="center"/>
      </w:pPr>
      <w:r>
        <w:rPr>
          <w:noProof/>
          <w:lang w:eastAsia="en-AU"/>
        </w:rPr>
        <w:drawing>
          <wp:inline distT="0" distB="0" distL="0" distR="0">
            <wp:extent cx="5257800" cy="2895600"/>
            <wp:effectExtent l="1905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11632" t="26685" r="57816" b="46366"/>
                    <a:stretch>
                      <a:fillRect/>
                    </a:stretch>
                  </pic:blipFill>
                  <pic:spPr bwMode="auto">
                    <a:xfrm>
                      <a:off x="0" y="0"/>
                      <a:ext cx="5257800" cy="2895600"/>
                    </a:xfrm>
                    <a:prstGeom prst="rect">
                      <a:avLst/>
                    </a:prstGeom>
                    <a:noFill/>
                    <a:ln w="9525">
                      <a:noFill/>
                      <a:miter lim="800000"/>
                      <a:headEnd/>
                      <a:tailEnd/>
                    </a:ln>
                  </pic:spPr>
                </pic:pic>
              </a:graphicData>
            </a:graphic>
          </wp:inline>
        </w:drawing>
      </w:r>
    </w:p>
    <w:p w:rsidR="002710B1" w:rsidRDefault="002710B1" w:rsidP="00F253B4">
      <w:pPr>
        <w:spacing w:line="360" w:lineRule="auto"/>
      </w:pPr>
    </w:p>
    <w:p w:rsidR="009F529D" w:rsidRDefault="009F529D" w:rsidP="00F253B4">
      <w:pPr>
        <w:spacing w:line="360" w:lineRule="auto"/>
      </w:pPr>
    </w:p>
    <w:p w:rsidR="009F529D" w:rsidRDefault="009F529D" w:rsidP="00F253B4">
      <w:pPr>
        <w:spacing w:line="360" w:lineRule="auto"/>
      </w:pPr>
    </w:p>
    <w:p w:rsidR="005538F5" w:rsidRDefault="00A21DAC" w:rsidP="00F253B4">
      <w:pPr>
        <w:pStyle w:val="Heading2a"/>
        <w:numPr>
          <w:ilvl w:val="0"/>
          <w:numId w:val="7"/>
        </w:numPr>
        <w:shd w:val="clear" w:color="auto" w:fill="D9D9D9" w:themeFill="background1" w:themeFillShade="D9"/>
        <w:spacing w:line="360" w:lineRule="auto"/>
      </w:pPr>
      <w:r>
        <w:lastRenderedPageBreak/>
        <w:t>HEALTH QUALITY AND COMPLAINS COMMISSION</w:t>
      </w:r>
    </w:p>
    <w:p w:rsidR="007609B2" w:rsidRDefault="007609B2" w:rsidP="00F253B4">
      <w:pPr>
        <w:spacing w:line="360" w:lineRule="auto"/>
      </w:pPr>
    </w:p>
    <w:p w:rsidR="005538F5" w:rsidRDefault="005538F5" w:rsidP="00F253B4">
      <w:pPr>
        <w:spacing w:line="360" w:lineRule="auto"/>
      </w:pPr>
      <w:r>
        <w:t xml:space="preserve">The HQCC is </w:t>
      </w:r>
      <w:r w:rsidRPr="007609B2">
        <w:rPr>
          <w:b/>
        </w:rPr>
        <w:t>an independent and impartial body</w:t>
      </w:r>
      <w:r>
        <w:t xml:space="preserve"> replacing the Health Rights Commission, established under the HQCCA 2006 s12 and deals with complaints from a wide variety of health care professionals and services.</w:t>
      </w:r>
    </w:p>
    <w:p w:rsidR="00183046" w:rsidRDefault="00183046" w:rsidP="00F253B4">
      <w:pPr>
        <w:spacing w:line="360" w:lineRule="auto"/>
      </w:pPr>
    </w:p>
    <w:p w:rsidR="00183046" w:rsidRDefault="00183046" w:rsidP="00F253B4">
      <w:pPr>
        <w:spacing w:line="360" w:lineRule="auto"/>
      </w:pPr>
      <w:r w:rsidRPr="00183046">
        <w:rPr>
          <w:b/>
        </w:rPr>
        <w:t>NOTE:</w:t>
      </w:r>
      <w:r>
        <w:t xml:space="preserve"> </w:t>
      </w:r>
      <w:r w:rsidRPr="00183046">
        <w:t xml:space="preserve">Not </w:t>
      </w:r>
      <w:r>
        <w:t xml:space="preserve">a one stop shop – the HQCC has no power to discipline but rather, is an alternative to directly approaching boards </w:t>
      </w:r>
      <w:r w:rsidRPr="00183046">
        <w:rPr>
          <w:b/>
        </w:rPr>
        <w:t>s48HPPSA</w:t>
      </w:r>
    </w:p>
    <w:p w:rsidR="005538F5" w:rsidRDefault="005538F5" w:rsidP="00F253B4">
      <w:pPr>
        <w:spacing w:line="360" w:lineRule="auto"/>
      </w:pPr>
    </w:p>
    <w:p w:rsidR="005538F5" w:rsidRDefault="005538F5" w:rsidP="00F253B4">
      <w:pPr>
        <w:pStyle w:val="Heading2aa"/>
        <w:numPr>
          <w:ilvl w:val="0"/>
          <w:numId w:val="8"/>
        </w:numPr>
        <w:spacing w:line="360" w:lineRule="auto"/>
      </w:pPr>
      <w:r>
        <w:t>Functions</w:t>
      </w:r>
    </w:p>
    <w:p w:rsidR="005538F5" w:rsidRDefault="005538F5" w:rsidP="00F253B4">
      <w:pPr>
        <w:pStyle w:val="ListParagraph"/>
        <w:numPr>
          <w:ilvl w:val="1"/>
          <w:numId w:val="8"/>
        </w:numPr>
        <w:spacing w:line="360" w:lineRule="auto"/>
      </w:pPr>
      <w:r>
        <w:t>Sections 13-16 prescribe the functions of the HQCC:</w:t>
      </w:r>
    </w:p>
    <w:p w:rsidR="005538F5" w:rsidRDefault="005538F5" w:rsidP="00F253B4">
      <w:pPr>
        <w:pStyle w:val="ListParagraph"/>
        <w:numPr>
          <w:ilvl w:val="2"/>
          <w:numId w:val="8"/>
        </w:numPr>
        <w:spacing w:line="360" w:lineRule="auto"/>
      </w:pPr>
      <w:r>
        <w:t>Complaints (s13)</w:t>
      </w:r>
    </w:p>
    <w:p w:rsidR="005538F5" w:rsidRPr="00F1174F" w:rsidRDefault="005538F5" w:rsidP="00F253B4">
      <w:pPr>
        <w:pStyle w:val="ListParagraph"/>
        <w:numPr>
          <w:ilvl w:val="3"/>
          <w:numId w:val="8"/>
        </w:numPr>
        <w:spacing w:line="360" w:lineRule="auto"/>
      </w:pPr>
      <w:r w:rsidRPr="00F1174F">
        <w:t>Receiving, assessing and managing complaints</w:t>
      </w:r>
    </w:p>
    <w:p w:rsidR="005538F5" w:rsidRDefault="005538F5" w:rsidP="00F253B4">
      <w:pPr>
        <w:pStyle w:val="ListParagraph"/>
        <w:numPr>
          <w:ilvl w:val="3"/>
          <w:numId w:val="8"/>
        </w:numPr>
        <w:spacing w:line="360" w:lineRule="auto"/>
        <w:rPr>
          <w:rFonts w:asciiTheme="minorHAnsi" w:hAnsiTheme="minorHAnsi"/>
        </w:rPr>
      </w:pPr>
      <w:r w:rsidRPr="00F1174F">
        <w:rPr>
          <w:rFonts w:asciiTheme="minorHAnsi" w:hAnsiTheme="minorHAnsi"/>
        </w:rPr>
        <w:t>Conciliating or investigating complaints</w:t>
      </w:r>
    </w:p>
    <w:p w:rsidR="005538F5" w:rsidRDefault="005538F5" w:rsidP="00F253B4">
      <w:pPr>
        <w:pStyle w:val="ListParagraph"/>
        <w:numPr>
          <w:ilvl w:val="2"/>
          <w:numId w:val="8"/>
        </w:numPr>
        <w:spacing w:line="360" w:lineRule="auto"/>
        <w:rPr>
          <w:rFonts w:asciiTheme="minorHAnsi" w:hAnsiTheme="minorHAnsi"/>
        </w:rPr>
      </w:pPr>
      <w:r>
        <w:rPr>
          <w:rFonts w:asciiTheme="minorHAnsi" w:hAnsiTheme="minorHAnsi"/>
        </w:rPr>
        <w:t>Maintaining standards (s14)</w:t>
      </w:r>
    </w:p>
    <w:p w:rsidR="005538F5" w:rsidRDefault="005538F5" w:rsidP="00F253B4">
      <w:pPr>
        <w:pStyle w:val="ListParagraph"/>
        <w:numPr>
          <w:ilvl w:val="3"/>
          <w:numId w:val="8"/>
        </w:numPr>
        <w:spacing w:line="360" w:lineRule="auto"/>
        <w:rPr>
          <w:rFonts w:asciiTheme="minorHAnsi" w:hAnsiTheme="minorHAnsi"/>
        </w:rPr>
      </w:pPr>
      <w:r>
        <w:rPr>
          <w:rFonts w:asciiTheme="minorHAnsi" w:hAnsiTheme="minorHAnsi"/>
        </w:rPr>
        <w:t>Ensuring and furthering the quality of health services provided</w:t>
      </w:r>
    </w:p>
    <w:p w:rsidR="005538F5" w:rsidRPr="00F1174F" w:rsidRDefault="005538F5" w:rsidP="00F253B4">
      <w:pPr>
        <w:pStyle w:val="ListParagraph"/>
        <w:numPr>
          <w:ilvl w:val="3"/>
          <w:numId w:val="8"/>
        </w:numPr>
        <w:spacing w:line="360" w:lineRule="auto"/>
        <w:rPr>
          <w:rFonts w:asciiTheme="minorHAnsi" w:hAnsiTheme="minorHAnsi"/>
          <w:sz w:val="24"/>
        </w:rPr>
      </w:pPr>
      <w:r>
        <w:t>E</w:t>
      </w:r>
      <w:r w:rsidRPr="00F1174F">
        <w:t>stablish</w:t>
      </w:r>
      <w:r>
        <w:t>ing</w:t>
      </w:r>
      <w:r w:rsidRPr="00F1174F">
        <w:t xml:space="preserve"> and maintain</w:t>
      </w:r>
      <w:r>
        <w:t>ing</w:t>
      </w:r>
      <w:r w:rsidRPr="00F1174F">
        <w:t xml:space="preserve"> reasonable processes to improve quality of health services</w:t>
      </w:r>
    </w:p>
    <w:p w:rsidR="005538F5" w:rsidRPr="00F1174F" w:rsidRDefault="005538F5" w:rsidP="00F253B4">
      <w:pPr>
        <w:pStyle w:val="ListParagraph"/>
        <w:numPr>
          <w:ilvl w:val="2"/>
          <w:numId w:val="8"/>
        </w:numPr>
        <w:spacing w:line="360" w:lineRule="auto"/>
        <w:rPr>
          <w:rFonts w:asciiTheme="minorHAnsi" w:hAnsiTheme="minorHAnsi"/>
          <w:sz w:val="24"/>
        </w:rPr>
      </w:pPr>
      <w:r>
        <w:t>Education (s15)</w:t>
      </w:r>
    </w:p>
    <w:p w:rsidR="005538F5" w:rsidRPr="00C06D20" w:rsidRDefault="005538F5" w:rsidP="00F253B4">
      <w:pPr>
        <w:pStyle w:val="ListParagraph"/>
        <w:numPr>
          <w:ilvl w:val="3"/>
          <w:numId w:val="8"/>
        </w:numPr>
        <w:spacing w:line="360" w:lineRule="auto"/>
        <w:rPr>
          <w:rFonts w:asciiTheme="minorHAnsi" w:hAnsiTheme="minorHAnsi"/>
          <w:sz w:val="24"/>
        </w:rPr>
      </w:pPr>
      <w:r>
        <w:t xml:space="preserve">Educating the public and HCP’s re health rights and responsibilities </w:t>
      </w:r>
    </w:p>
    <w:p w:rsidR="005538F5" w:rsidRPr="00C06D20" w:rsidRDefault="005538F5" w:rsidP="00F253B4">
      <w:pPr>
        <w:pStyle w:val="ListParagraph"/>
        <w:numPr>
          <w:ilvl w:val="2"/>
          <w:numId w:val="8"/>
        </w:numPr>
        <w:spacing w:line="360" w:lineRule="auto"/>
        <w:rPr>
          <w:rFonts w:asciiTheme="minorHAnsi" w:hAnsiTheme="minorHAnsi"/>
          <w:sz w:val="24"/>
        </w:rPr>
      </w:pPr>
      <w:r>
        <w:t>Other functions (s16)</w:t>
      </w:r>
    </w:p>
    <w:p w:rsidR="005538F5" w:rsidRPr="00C06D20" w:rsidRDefault="005538F5" w:rsidP="00F253B4">
      <w:pPr>
        <w:pStyle w:val="ListParagraph"/>
        <w:numPr>
          <w:ilvl w:val="3"/>
          <w:numId w:val="8"/>
        </w:numPr>
        <w:spacing w:line="360" w:lineRule="auto"/>
        <w:rPr>
          <w:rFonts w:asciiTheme="minorHAnsi" w:hAnsiTheme="minorHAnsi"/>
        </w:rPr>
      </w:pPr>
      <w:r w:rsidRPr="00C06D20">
        <w:rPr>
          <w:rFonts w:asciiTheme="minorHAnsi" w:hAnsiTheme="minorHAnsi"/>
        </w:rPr>
        <w:t>Advertising</w:t>
      </w:r>
    </w:p>
    <w:p w:rsidR="005538F5" w:rsidRDefault="005538F5" w:rsidP="00F253B4">
      <w:pPr>
        <w:pStyle w:val="ListParagraph"/>
        <w:numPr>
          <w:ilvl w:val="3"/>
          <w:numId w:val="8"/>
        </w:numPr>
        <w:spacing w:line="360" w:lineRule="auto"/>
        <w:rPr>
          <w:rFonts w:asciiTheme="minorHAnsi" w:hAnsiTheme="minorHAnsi"/>
        </w:rPr>
      </w:pPr>
      <w:r w:rsidRPr="00C06D20">
        <w:rPr>
          <w:rFonts w:asciiTheme="minorHAnsi" w:hAnsiTheme="minorHAnsi"/>
        </w:rPr>
        <w:t>Researching</w:t>
      </w:r>
    </w:p>
    <w:p w:rsidR="005538F5" w:rsidRDefault="005538F5" w:rsidP="00F253B4">
      <w:pPr>
        <w:spacing w:line="360" w:lineRule="auto"/>
        <w:rPr>
          <w:rFonts w:asciiTheme="minorHAnsi" w:hAnsiTheme="minorHAnsi"/>
        </w:rPr>
      </w:pPr>
    </w:p>
    <w:p w:rsidR="007609B2" w:rsidRDefault="005538F5" w:rsidP="00F253B4">
      <w:pPr>
        <w:pStyle w:val="ListParagraph"/>
        <w:numPr>
          <w:ilvl w:val="1"/>
          <w:numId w:val="8"/>
        </w:numPr>
        <w:spacing w:line="360" w:lineRule="auto"/>
        <w:rPr>
          <w:rFonts w:asciiTheme="minorHAnsi" w:hAnsiTheme="minorHAnsi"/>
        </w:rPr>
      </w:pPr>
      <w:r w:rsidRPr="005538F5">
        <w:rPr>
          <w:rFonts w:asciiTheme="minorHAnsi" w:hAnsiTheme="minorHAnsi"/>
        </w:rPr>
        <w:t xml:space="preserve">The HQCC is also under a duty to establish a Charter of Health Rights and Responsibilities (s31 HQCCA). </w:t>
      </w:r>
    </w:p>
    <w:p w:rsidR="005538F5" w:rsidRPr="005538F5" w:rsidRDefault="005538F5" w:rsidP="00F253B4">
      <w:pPr>
        <w:pStyle w:val="ListParagraph"/>
        <w:numPr>
          <w:ilvl w:val="1"/>
          <w:numId w:val="8"/>
        </w:numPr>
        <w:spacing w:line="360" w:lineRule="auto"/>
        <w:rPr>
          <w:rFonts w:asciiTheme="minorHAnsi" w:hAnsiTheme="minorHAnsi"/>
        </w:rPr>
      </w:pPr>
      <w:r w:rsidRPr="005538F5">
        <w:rPr>
          <w:rFonts w:asciiTheme="minorHAnsi" w:hAnsiTheme="minorHAnsi"/>
        </w:rPr>
        <w:t xml:space="preserve"> In developing the Code the HQCC is to have regard to the principles under section 34 HQCCA:</w:t>
      </w:r>
    </w:p>
    <w:p w:rsidR="005538F5" w:rsidRDefault="005538F5" w:rsidP="00F253B4">
      <w:pPr>
        <w:pStyle w:val="ListParagraph"/>
        <w:numPr>
          <w:ilvl w:val="2"/>
          <w:numId w:val="8"/>
        </w:numPr>
        <w:spacing w:line="360" w:lineRule="auto"/>
        <w:rPr>
          <w:rFonts w:asciiTheme="minorHAnsi" w:hAnsiTheme="minorHAnsi"/>
        </w:rPr>
      </w:pPr>
      <w:r w:rsidRPr="00C06D20">
        <w:rPr>
          <w:rFonts w:asciiTheme="minorHAnsi" w:hAnsiTheme="minorHAnsi"/>
        </w:rPr>
        <w:t>an individual is entitled to take part effectively in</w:t>
      </w:r>
      <w:r>
        <w:rPr>
          <w:rFonts w:asciiTheme="minorHAnsi" w:hAnsiTheme="minorHAnsi"/>
        </w:rPr>
        <w:t xml:space="preserve"> </w:t>
      </w:r>
      <w:r w:rsidRPr="00C06D20">
        <w:rPr>
          <w:rFonts w:asciiTheme="minorHAnsi" w:hAnsiTheme="minorHAnsi"/>
        </w:rPr>
        <w:t>decisions about the individual’s health;</w:t>
      </w:r>
    </w:p>
    <w:p w:rsidR="005538F5" w:rsidRDefault="005538F5" w:rsidP="00F253B4">
      <w:pPr>
        <w:pStyle w:val="ListParagraph"/>
        <w:numPr>
          <w:ilvl w:val="2"/>
          <w:numId w:val="8"/>
        </w:numPr>
        <w:spacing w:line="360" w:lineRule="auto"/>
        <w:rPr>
          <w:rFonts w:asciiTheme="minorHAnsi" w:hAnsiTheme="minorHAnsi"/>
        </w:rPr>
      </w:pPr>
      <w:r w:rsidRPr="00C06D20">
        <w:rPr>
          <w:rFonts w:asciiTheme="minorHAnsi" w:hAnsiTheme="minorHAnsi"/>
        </w:rPr>
        <w:t>an individual is entitled to take an active role in the</w:t>
      </w:r>
      <w:r>
        <w:rPr>
          <w:rFonts w:asciiTheme="minorHAnsi" w:hAnsiTheme="minorHAnsi"/>
        </w:rPr>
        <w:t xml:space="preserve"> </w:t>
      </w:r>
      <w:r w:rsidRPr="00C06D20">
        <w:rPr>
          <w:rFonts w:asciiTheme="minorHAnsi" w:hAnsiTheme="minorHAnsi"/>
        </w:rPr>
        <w:t>individual’s health care;</w:t>
      </w:r>
    </w:p>
    <w:p w:rsidR="005538F5" w:rsidRDefault="005538F5" w:rsidP="00F253B4">
      <w:pPr>
        <w:pStyle w:val="ListParagraph"/>
        <w:numPr>
          <w:ilvl w:val="2"/>
          <w:numId w:val="8"/>
        </w:numPr>
        <w:spacing w:line="360" w:lineRule="auto"/>
        <w:rPr>
          <w:rFonts w:asciiTheme="minorHAnsi" w:hAnsiTheme="minorHAnsi"/>
        </w:rPr>
      </w:pPr>
      <w:r w:rsidRPr="00C06D20">
        <w:rPr>
          <w:rFonts w:asciiTheme="minorHAnsi" w:hAnsiTheme="minorHAnsi"/>
        </w:rPr>
        <w:t>an individual is entitled to be provided with health services in a considerate way that takes into account the individual’s background, needs and wishes</w:t>
      </w:r>
    </w:p>
    <w:p w:rsidR="005538F5" w:rsidRDefault="005538F5" w:rsidP="00F253B4">
      <w:pPr>
        <w:pStyle w:val="ListParagraph"/>
        <w:numPr>
          <w:ilvl w:val="2"/>
          <w:numId w:val="8"/>
        </w:numPr>
        <w:spacing w:line="360" w:lineRule="auto"/>
        <w:rPr>
          <w:rFonts w:asciiTheme="minorHAnsi" w:hAnsiTheme="minorHAnsi"/>
        </w:rPr>
      </w:pPr>
      <w:r w:rsidRPr="00C06D20">
        <w:rPr>
          <w:rFonts w:asciiTheme="minorHAnsi" w:hAnsiTheme="minorHAnsi"/>
        </w:rPr>
        <w:t>an individual who provides</w:t>
      </w:r>
    </w:p>
    <w:p w:rsidR="005538F5" w:rsidRPr="00C06D20" w:rsidRDefault="005538F5" w:rsidP="00F253B4">
      <w:pPr>
        <w:pStyle w:val="ListParagraph"/>
        <w:numPr>
          <w:ilvl w:val="3"/>
          <w:numId w:val="8"/>
        </w:numPr>
        <w:spacing w:line="360" w:lineRule="auto"/>
        <w:rPr>
          <w:rFonts w:asciiTheme="minorHAnsi" w:hAnsiTheme="minorHAnsi"/>
        </w:rPr>
      </w:pPr>
      <w:r w:rsidRPr="00C06D20">
        <w:rPr>
          <w:rFonts w:asciiTheme="minorHAnsi" w:hAnsiTheme="minorHAnsi"/>
        </w:rPr>
        <w:t>a health service; or</w:t>
      </w:r>
    </w:p>
    <w:p w:rsidR="005538F5" w:rsidRDefault="005538F5" w:rsidP="00F253B4">
      <w:pPr>
        <w:pStyle w:val="ListParagraph"/>
        <w:numPr>
          <w:ilvl w:val="3"/>
          <w:numId w:val="8"/>
        </w:numPr>
        <w:spacing w:line="360" w:lineRule="auto"/>
        <w:rPr>
          <w:rFonts w:asciiTheme="minorHAnsi" w:hAnsiTheme="minorHAnsi"/>
        </w:rPr>
      </w:pPr>
      <w:r w:rsidRPr="00C06D20">
        <w:rPr>
          <w:rFonts w:asciiTheme="minorHAnsi" w:hAnsiTheme="minorHAnsi"/>
        </w:rPr>
        <w:lastRenderedPageBreak/>
        <w:t>care for another individual receiving a health</w:t>
      </w:r>
      <w:r>
        <w:rPr>
          <w:rFonts w:asciiTheme="minorHAnsi" w:hAnsiTheme="minorHAnsi"/>
        </w:rPr>
        <w:t xml:space="preserve"> </w:t>
      </w:r>
      <w:r w:rsidRPr="00C06D20">
        <w:rPr>
          <w:rFonts w:asciiTheme="minorHAnsi" w:hAnsiTheme="minorHAnsi"/>
        </w:rPr>
        <w:t>service</w:t>
      </w:r>
    </w:p>
    <w:p w:rsidR="005538F5" w:rsidRPr="00C06D20" w:rsidRDefault="005538F5" w:rsidP="00F253B4">
      <w:pPr>
        <w:pStyle w:val="ListParagraph"/>
        <w:numPr>
          <w:ilvl w:val="3"/>
          <w:numId w:val="8"/>
        </w:numPr>
        <w:spacing w:line="360" w:lineRule="auto"/>
        <w:rPr>
          <w:rFonts w:asciiTheme="minorHAnsi" w:hAnsiTheme="minorHAnsi"/>
        </w:rPr>
      </w:pPr>
      <w:r w:rsidRPr="00C06D20">
        <w:rPr>
          <w:rFonts w:asciiTheme="minorHAnsi" w:hAnsiTheme="minorHAnsi"/>
        </w:rPr>
        <w:t>is entitled to consideration and recognition for the contribution the individual makes to health care;</w:t>
      </w:r>
    </w:p>
    <w:p w:rsidR="005538F5" w:rsidRDefault="005538F5" w:rsidP="00F253B4">
      <w:pPr>
        <w:pStyle w:val="ListParagraph"/>
        <w:numPr>
          <w:ilvl w:val="2"/>
          <w:numId w:val="8"/>
        </w:numPr>
        <w:spacing w:line="360" w:lineRule="auto"/>
        <w:rPr>
          <w:rFonts w:asciiTheme="minorHAnsi" w:hAnsiTheme="minorHAnsi"/>
        </w:rPr>
      </w:pPr>
      <w:r w:rsidRPr="00C06D20">
        <w:rPr>
          <w:rFonts w:asciiTheme="minorHAnsi" w:hAnsiTheme="minorHAnsi"/>
        </w:rPr>
        <w:t>the confidentiality of information about an individual’s health should be preserved;</w:t>
      </w:r>
    </w:p>
    <w:p w:rsidR="005538F5" w:rsidRDefault="005538F5" w:rsidP="00F253B4">
      <w:pPr>
        <w:pStyle w:val="ListParagraph"/>
        <w:numPr>
          <w:ilvl w:val="2"/>
          <w:numId w:val="8"/>
        </w:numPr>
        <w:spacing w:line="360" w:lineRule="auto"/>
        <w:rPr>
          <w:rFonts w:asciiTheme="minorHAnsi" w:hAnsiTheme="minorHAnsi"/>
        </w:rPr>
      </w:pPr>
      <w:r w:rsidRPr="00C06D20">
        <w:rPr>
          <w:rFonts w:asciiTheme="minorHAnsi" w:hAnsiTheme="minorHAnsi"/>
        </w:rPr>
        <w:t>an individual is entitled to reasonable access to records about the individual’s health</w:t>
      </w:r>
    </w:p>
    <w:p w:rsidR="005538F5" w:rsidRPr="00C06D20" w:rsidRDefault="005538F5" w:rsidP="00F253B4">
      <w:pPr>
        <w:pStyle w:val="ListParagraph"/>
        <w:numPr>
          <w:ilvl w:val="2"/>
          <w:numId w:val="8"/>
        </w:numPr>
        <w:spacing w:line="360" w:lineRule="auto"/>
        <w:rPr>
          <w:rFonts w:asciiTheme="minorHAnsi" w:hAnsiTheme="minorHAnsi"/>
        </w:rPr>
      </w:pPr>
      <w:r w:rsidRPr="00C06D20">
        <w:rPr>
          <w:rFonts w:asciiTheme="minorHAnsi" w:hAnsiTheme="minorHAnsi"/>
        </w:rPr>
        <w:t>an individual is entitled to reasonable access to procedures for the redress of grievances relating to the provision of health services</w:t>
      </w:r>
    </w:p>
    <w:p w:rsidR="005538F5" w:rsidRDefault="005538F5" w:rsidP="00F253B4">
      <w:pPr>
        <w:spacing w:line="360" w:lineRule="auto"/>
        <w:rPr>
          <w:rFonts w:asciiTheme="minorHAnsi" w:hAnsiTheme="minorHAnsi"/>
        </w:rPr>
      </w:pPr>
    </w:p>
    <w:p w:rsidR="005538F5" w:rsidRDefault="005538F5" w:rsidP="00F253B4">
      <w:pPr>
        <w:pStyle w:val="Heading2aa"/>
        <w:numPr>
          <w:ilvl w:val="0"/>
          <w:numId w:val="8"/>
        </w:numPr>
        <w:spacing w:line="360" w:lineRule="auto"/>
      </w:pPr>
      <w:r>
        <w:t>Complaints</w:t>
      </w:r>
    </w:p>
    <w:p w:rsidR="005538F5" w:rsidRDefault="005538F5" w:rsidP="00F253B4">
      <w:pPr>
        <w:spacing w:line="360" w:lineRule="auto"/>
      </w:pPr>
    </w:p>
    <w:p w:rsidR="005538F5" w:rsidRPr="005538F5" w:rsidRDefault="005538F5" w:rsidP="00F253B4">
      <w:pPr>
        <w:pStyle w:val="ListParagraph"/>
        <w:numPr>
          <w:ilvl w:val="1"/>
          <w:numId w:val="8"/>
        </w:numPr>
        <w:spacing w:line="360" w:lineRule="auto"/>
        <w:rPr>
          <w:u w:val="single"/>
        </w:rPr>
      </w:pPr>
      <w:r w:rsidRPr="005538F5">
        <w:rPr>
          <w:u w:val="single"/>
        </w:rPr>
        <w:t>What type of complaint does the person wish to make?</w:t>
      </w:r>
    </w:p>
    <w:p w:rsidR="005538F5" w:rsidRDefault="005538F5" w:rsidP="00F253B4">
      <w:pPr>
        <w:pStyle w:val="ListParagraph"/>
        <w:numPr>
          <w:ilvl w:val="2"/>
          <w:numId w:val="8"/>
        </w:numPr>
        <w:spacing w:line="360" w:lineRule="auto"/>
      </w:pPr>
      <w:r>
        <w:t>There are two types of complaints that a person can make to the HQCC (s35):</w:t>
      </w:r>
    </w:p>
    <w:p w:rsidR="00A21DAC" w:rsidRDefault="00A21DAC" w:rsidP="00F253B4">
      <w:pPr>
        <w:pStyle w:val="ListParagraph"/>
        <w:spacing w:line="360" w:lineRule="auto"/>
        <w:ind w:left="1080"/>
        <w:rPr>
          <w:lang w:val="en-US"/>
        </w:rPr>
      </w:pPr>
    </w:p>
    <w:p w:rsidR="005538F5" w:rsidRPr="00A21DAC" w:rsidRDefault="005538F5" w:rsidP="00F253B4">
      <w:pPr>
        <w:pStyle w:val="ListParagraph"/>
        <w:numPr>
          <w:ilvl w:val="2"/>
          <w:numId w:val="8"/>
        </w:numPr>
        <w:spacing w:line="360" w:lineRule="auto"/>
        <w:rPr>
          <w:b/>
          <w:lang w:val="en-US"/>
        </w:rPr>
      </w:pPr>
      <w:r w:rsidRPr="00A21DAC">
        <w:rPr>
          <w:b/>
          <w:lang w:val="en-US"/>
        </w:rPr>
        <w:t xml:space="preserve">Health quality complaint (s 36) </w:t>
      </w:r>
    </w:p>
    <w:p w:rsidR="005538F5" w:rsidRDefault="005538F5" w:rsidP="00F253B4">
      <w:pPr>
        <w:pStyle w:val="ListParagraph"/>
        <w:numPr>
          <w:ilvl w:val="3"/>
          <w:numId w:val="8"/>
        </w:numPr>
        <w:spacing w:line="360" w:lineRule="auto"/>
        <w:rPr>
          <w:lang w:val="en-US"/>
        </w:rPr>
      </w:pPr>
      <w:r w:rsidRPr="003A06EA">
        <w:rPr>
          <w:lang w:val="en-US"/>
        </w:rPr>
        <w:t>complaint dealing with quality of health service, e.g. f</w:t>
      </w:r>
      <w:r>
        <w:rPr>
          <w:lang w:val="en-US"/>
        </w:rPr>
        <w:t>ailure to comply with standards</w:t>
      </w:r>
    </w:p>
    <w:p w:rsidR="00A21DAC" w:rsidRPr="003A06EA" w:rsidRDefault="00A21DAC" w:rsidP="00F253B4">
      <w:pPr>
        <w:pStyle w:val="ListParagraph"/>
        <w:spacing w:line="360" w:lineRule="auto"/>
        <w:ind w:left="1440"/>
        <w:rPr>
          <w:lang w:val="en-US"/>
        </w:rPr>
      </w:pPr>
    </w:p>
    <w:p w:rsidR="005538F5" w:rsidRPr="00A21DAC" w:rsidRDefault="005538F5" w:rsidP="00F253B4">
      <w:pPr>
        <w:pStyle w:val="ListParagraph"/>
        <w:numPr>
          <w:ilvl w:val="2"/>
          <w:numId w:val="8"/>
        </w:numPr>
        <w:spacing w:line="360" w:lineRule="auto"/>
        <w:rPr>
          <w:b/>
        </w:rPr>
      </w:pPr>
      <w:r w:rsidRPr="00A21DAC">
        <w:rPr>
          <w:b/>
          <w:lang w:val="en-US"/>
        </w:rPr>
        <w:t xml:space="preserve">Health service complaint (s 37) </w:t>
      </w:r>
    </w:p>
    <w:p w:rsidR="005538F5" w:rsidRDefault="005538F5" w:rsidP="00F253B4">
      <w:pPr>
        <w:pStyle w:val="ListParagraph"/>
        <w:numPr>
          <w:ilvl w:val="3"/>
          <w:numId w:val="8"/>
        </w:numPr>
        <w:spacing w:line="360" w:lineRule="auto"/>
      </w:pPr>
      <w:r w:rsidRPr="003A06EA">
        <w:t>that a provider acted unreasonably by not providing a</w:t>
      </w:r>
      <w:r>
        <w:t xml:space="preserve"> </w:t>
      </w:r>
      <w:r w:rsidRPr="003A06EA">
        <w:t>health service for a user; or</w:t>
      </w:r>
    </w:p>
    <w:p w:rsidR="005538F5" w:rsidRDefault="005538F5" w:rsidP="00F253B4">
      <w:pPr>
        <w:pStyle w:val="ListParagraph"/>
        <w:numPr>
          <w:ilvl w:val="3"/>
          <w:numId w:val="8"/>
        </w:numPr>
        <w:spacing w:line="360" w:lineRule="auto"/>
      </w:pPr>
      <w:r w:rsidRPr="003A06EA">
        <w:t>that a provider acted unreasonably in the way of</w:t>
      </w:r>
      <w:r>
        <w:t xml:space="preserve"> </w:t>
      </w:r>
      <w:r w:rsidRPr="003A06EA">
        <w:t>providing a health service for a user; or</w:t>
      </w:r>
    </w:p>
    <w:p w:rsidR="005538F5" w:rsidRDefault="005538F5" w:rsidP="00F253B4">
      <w:pPr>
        <w:pStyle w:val="ListParagraph"/>
        <w:numPr>
          <w:ilvl w:val="3"/>
          <w:numId w:val="8"/>
        </w:numPr>
        <w:spacing w:line="360" w:lineRule="auto"/>
      </w:pPr>
      <w:r w:rsidRPr="003A06EA">
        <w:t>that a provider acted unreasonably in providing a health</w:t>
      </w:r>
      <w:r>
        <w:t xml:space="preserve"> </w:t>
      </w:r>
      <w:r w:rsidRPr="003A06EA">
        <w:t>service for a user; or</w:t>
      </w:r>
    </w:p>
    <w:p w:rsidR="005538F5" w:rsidRDefault="005538F5" w:rsidP="00F253B4">
      <w:pPr>
        <w:pStyle w:val="ListParagraph"/>
        <w:numPr>
          <w:ilvl w:val="3"/>
          <w:numId w:val="8"/>
        </w:numPr>
        <w:spacing w:line="360" w:lineRule="auto"/>
      </w:pPr>
      <w:r w:rsidRPr="003A06EA">
        <w:t>that a provider acted unreasonably by denying or</w:t>
      </w:r>
      <w:r>
        <w:t xml:space="preserve"> </w:t>
      </w:r>
      <w:r w:rsidRPr="003A06EA">
        <w:t>restricting a user’s access to records relating to the user</w:t>
      </w:r>
      <w:r>
        <w:t xml:space="preserve"> </w:t>
      </w:r>
      <w:r w:rsidRPr="003A06EA">
        <w:t>in the provider’s possession; or</w:t>
      </w:r>
    </w:p>
    <w:p w:rsidR="005538F5" w:rsidRDefault="005538F5" w:rsidP="00F253B4">
      <w:pPr>
        <w:pStyle w:val="ListParagraph"/>
        <w:numPr>
          <w:ilvl w:val="3"/>
          <w:numId w:val="8"/>
        </w:numPr>
        <w:spacing w:line="360" w:lineRule="auto"/>
      </w:pPr>
      <w:r w:rsidRPr="003A06EA">
        <w:t>that a provider acted unreasonably in disclosing</w:t>
      </w:r>
      <w:r>
        <w:t xml:space="preserve"> </w:t>
      </w:r>
      <w:r w:rsidRPr="003A06EA">
        <w:t>information relating to a user; or</w:t>
      </w:r>
    </w:p>
    <w:p w:rsidR="005538F5" w:rsidRDefault="005538F5" w:rsidP="00F253B4">
      <w:pPr>
        <w:pStyle w:val="ListParagraph"/>
        <w:numPr>
          <w:ilvl w:val="3"/>
          <w:numId w:val="8"/>
        </w:numPr>
        <w:spacing w:line="360" w:lineRule="auto"/>
      </w:pPr>
      <w:r w:rsidRPr="003A06EA">
        <w:t>that a registered provider acted in a way that would</w:t>
      </w:r>
      <w:r>
        <w:t xml:space="preserve"> </w:t>
      </w:r>
      <w:r w:rsidRPr="003A06EA">
        <w:t>provide a ground for disciplinary action against the</w:t>
      </w:r>
      <w:r>
        <w:t xml:space="preserve"> </w:t>
      </w:r>
      <w:r w:rsidRPr="003A06EA">
        <w:t xml:space="preserve">provider under the </w:t>
      </w:r>
      <w:r w:rsidRPr="003A06EA">
        <w:rPr>
          <w:i/>
          <w:iCs/>
        </w:rPr>
        <w:t xml:space="preserve">Health Practitioners (Professional Standards) Act 1999 </w:t>
      </w:r>
      <w:r w:rsidRPr="003A06EA">
        <w:t xml:space="preserve">or the </w:t>
      </w:r>
      <w:r w:rsidRPr="003A06EA">
        <w:rPr>
          <w:i/>
          <w:iCs/>
        </w:rPr>
        <w:t>Nursing Act 1992</w:t>
      </w:r>
      <w:r w:rsidRPr="003A06EA">
        <w:t>; or</w:t>
      </w:r>
    </w:p>
    <w:p w:rsidR="005538F5" w:rsidRDefault="005538F5" w:rsidP="00F253B4">
      <w:pPr>
        <w:pStyle w:val="ListParagraph"/>
        <w:numPr>
          <w:ilvl w:val="3"/>
          <w:numId w:val="8"/>
        </w:numPr>
        <w:spacing w:line="360" w:lineRule="auto"/>
      </w:pPr>
      <w:r w:rsidRPr="003A06EA">
        <w:t>that a public or private entity that provides a health</w:t>
      </w:r>
      <w:r>
        <w:t xml:space="preserve"> </w:t>
      </w:r>
      <w:r w:rsidRPr="003A06EA">
        <w:t>service acted unreasonably by—</w:t>
      </w:r>
    </w:p>
    <w:p w:rsidR="005538F5" w:rsidRDefault="005538F5" w:rsidP="00F253B4">
      <w:pPr>
        <w:pStyle w:val="ListParagraph"/>
        <w:numPr>
          <w:ilvl w:val="4"/>
          <w:numId w:val="8"/>
        </w:numPr>
        <w:spacing w:line="360" w:lineRule="auto"/>
      </w:pPr>
      <w:r w:rsidRPr="003A06EA">
        <w:t>not properly investigating</w:t>
      </w:r>
      <w:r>
        <w:t>; or</w:t>
      </w:r>
    </w:p>
    <w:p w:rsidR="005538F5" w:rsidRDefault="005538F5" w:rsidP="00F253B4">
      <w:pPr>
        <w:pStyle w:val="ListParagraph"/>
        <w:numPr>
          <w:ilvl w:val="4"/>
          <w:numId w:val="8"/>
        </w:numPr>
        <w:spacing w:line="360" w:lineRule="auto"/>
      </w:pPr>
      <w:r w:rsidRPr="003A06EA">
        <w:t>not taking proper action in relation to;</w:t>
      </w:r>
    </w:p>
    <w:p w:rsidR="005538F5" w:rsidRPr="003A06EA" w:rsidRDefault="005538F5" w:rsidP="00F253B4">
      <w:pPr>
        <w:pStyle w:val="ListParagraph"/>
        <w:numPr>
          <w:ilvl w:val="5"/>
          <w:numId w:val="8"/>
        </w:numPr>
        <w:spacing w:line="360" w:lineRule="auto"/>
      </w:pPr>
      <w:r w:rsidRPr="003A06EA">
        <w:t>a complaint made to the entity by a user about a</w:t>
      </w:r>
      <w:r>
        <w:t xml:space="preserve"> </w:t>
      </w:r>
      <w:r w:rsidRPr="003A06EA">
        <w:t>provider’s action of a kind mentioned in paragraphs (a)</w:t>
      </w:r>
      <w:r>
        <w:t xml:space="preserve"> </w:t>
      </w:r>
      <w:r w:rsidRPr="003A06EA">
        <w:t>to (f).</w:t>
      </w:r>
    </w:p>
    <w:p w:rsidR="005538F5" w:rsidRPr="003A06EA" w:rsidRDefault="005538F5" w:rsidP="00F253B4">
      <w:pPr>
        <w:pStyle w:val="ListParagraph"/>
        <w:spacing w:line="360" w:lineRule="auto"/>
        <w:ind w:left="928"/>
        <w:rPr>
          <w:rFonts w:asciiTheme="minorHAnsi" w:hAnsiTheme="minorHAnsi"/>
        </w:rPr>
      </w:pPr>
    </w:p>
    <w:p w:rsidR="005538F5" w:rsidRPr="005538F5" w:rsidRDefault="005538F5" w:rsidP="00F253B4">
      <w:pPr>
        <w:pStyle w:val="ListParagraph"/>
        <w:numPr>
          <w:ilvl w:val="1"/>
          <w:numId w:val="8"/>
        </w:numPr>
        <w:spacing w:line="360" w:lineRule="auto"/>
        <w:rPr>
          <w:rFonts w:asciiTheme="minorHAnsi" w:hAnsiTheme="minorHAnsi"/>
          <w:u w:val="single"/>
        </w:rPr>
      </w:pPr>
      <w:r w:rsidRPr="005538F5">
        <w:rPr>
          <w:rFonts w:asciiTheme="minorHAnsi" w:hAnsiTheme="minorHAnsi"/>
          <w:u w:val="single"/>
        </w:rPr>
        <w:lastRenderedPageBreak/>
        <w:t>Who can make a complaint?</w:t>
      </w:r>
    </w:p>
    <w:p w:rsidR="005538F5" w:rsidRDefault="005538F5" w:rsidP="00F253B4">
      <w:pPr>
        <w:pStyle w:val="ListParagraph"/>
        <w:numPr>
          <w:ilvl w:val="2"/>
          <w:numId w:val="8"/>
        </w:numPr>
        <w:spacing w:line="360" w:lineRule="auto"/>
        <w:rPr>
          <w:rFonts w:asciiTheme="minorHAnsi" w:hAnsiTheme="minorHAnsi"/>
        </w:rPr>
      </w:pPr>
      <w:r>
        <w:rPr>
          <w:rFonts w:asciiTheme="minorHAnsi" w:hAnsiTheme="minorHAnsi"/>
        </w:rPr>
        <w:t>Health Quality Complaint</w:t>
      </w:r>
    </w:p>
    <w:p w:rsidR="005538F5" w:rsidRDefault="005538F5" w:rsidP="00F253B4">
      <w:pPr>
        <w:pStyle w:val="ListParagraph"/>
        <w:numPr>
          <w:ilvl w:val="3"/>
          <w:numId w:val="8"/>
        </w:numPr>
        <w:spacing w:line="360" w:lineRule="auto"/>
        <w:rPr>
          <w:rFonts w:asciiTheme="minorHAnsi" w:hAnsiTheme="minorHAnsi"/>
        </w:rPr>
      </w:pPr>
      <w:r>
        <w:rPr>
          <w:rFonts w:asciiTheme="minorHAnsi" w:hAnsiTheme="minorHAnsi"/>
        </w:rPr>
        <w:t>s</w:t>
      </w:r>
      <w:r w:rsidRPr="00AD633B">
        <w:rPr>
          <w:rFonts w:asciiTheme="minorHAnsi" w:hAnsiTheme="minorHAnsi"/>
        </w:rPr>
        <w:t>38: Anyone may make a health quality complaint to the commission</w:t>
      </w:r>
    </w:p>
    <w:p w:rsidR="00A21DAC" w:rsidRPr="00AD633B" w:rsidRDefault="00A21DAC" w:rsidP="00F253B4">
      <w:pPr>
        <w:pStyle w:val="ListParagraph"/>
        <w:spacing w:line="360" w:lineRule="auto"/>
        <w:ind w:left="1440"/>
        <w:rPr>
          <w:rFonts w:asciiTheme="minorHAnsi" w:hAnsiTheme="minorHAnsi"/>
        </w:rPr>
      </w:pPr>
    </w:p>
    <w:p w:rsidR="005538F5" w:rsidRDefault="005538F5" w:rsidP="00F253B4">
      <w:pPr>
        <w:pStyle w:val="ListParagraph"/>
        <w:numPr>
          <w:ilvl w:val="2"/>
          <w:numId w:val="8"/>
        </w:numPr>
        <w:spacing w:line="360" w:lineRule="auto"/>
        <w:rPr>
          <w:rFonts w:asciiTheme="minorHAnsi" w:hAnsiTheme="minorHAnsi"/>
        </w:rPr>
      </w:pPr>
      <w:r>
        <w:rPr>
          <w:rFonts w:asciiTheme="minorHAnsi" w:hAnsiTheme="minorHAnsi"/>
        </w:rPr>
        <w:t>Health Service Complaint</w:t>
      </w:r>
    </w:p>
    <w:p w:rsidR="005538F5" w:rsidRDefault="005538F5" w:rsidP="00F253B4">
      <w:pPr>
        <w:pStyle w:val="ListParagraph"/>
        <w:numPr>
          <w:ilvl w:val="3"/>
          <w:numId w:val="8"/>
        </w:numPr>
        <w:spacing w:line="360" w:lineRule="auto"/>
        <w:rPr>
          <w:rFonts w:asciiTheme="minorHAnsi" w:hAnsiTheme="minorHAnsi"/>
        </w:rPr>
      </w:pPr>
      <w:r>
        <w:rPr>
          <w:rFonts w:asciiTheme="minorHAnsi" w:hAnsiTheme="minorHAnsi"/>
        </w:rPr>
        <w:t>s40: Only the</w:t>
      </w:r>
    </w:p>
    <w:p w:rsidR="005538F5" w:rsidRDefault="005538F5" w:rsidP="00F253B4">
      <w:pPr>
        <w:pStyle w:val="ListParagraph"/>
        <w:numPr>
          <w:ilvl w:val="4"/>
          <w:numId w:val="8"/>
        </w:numPr>
        <w:spacing w:line="360" w:lineRule="auto"/>
        <w:rPr>
          <w:rFonts w:asciiTheme="minorHAnsi" w:hAnsiTheme="minorHAnsi"/>
        </w:rPr>
      </w:pPr>
      <w:r>
        <w:rPr>
          <w:rFonts w:asciiTheme="minorHAnsi" w:hAnsiTheme="minorHAnsi"/>
        </w:rPr>
        <w:t>user</w:t>
      </w:r>
    </w:p>
    <w:p w:rsidR="005538F5" w:rsidRDefault="005538F5" w:rsidP="00F253B4">
      <w:pPr>
        <w:pStyle w:val="ListParagraph"/>
        <w:numPr>
          <w:ilvl w:val="4"/>
          <w:numId w:val="8"/>
        </w:numPr>
        <w:spacing w:line="360" w:lineRule="auto"/>
        <w:rPr>
          <w:rFonts w:asciiTheme="minorHAnsi" w:hAnsiTheme="minorHAnsi"/>
        </w:rPr>
      </w:pPr>
      <w:r>
        <w:rPr>
          <w:rFonts w:asciiTheme="minorHAnsi" w:hAnsiTheme="minorHAnsi"/>
        </w:rPr>
        <w:t>person on behalf of the user</w:t>
      </w:r>
    </w:p>
    <w:p w:rsidR="005538F5" w:rsidRDefault="005538F5" w:rsidP="00F253B4">
      <w:pPr>
        <w:pStyle w:val="ListParagraph"/>
        <w:numPr>
          <w:ilvl w:val="4"/>
          <w:numId w:val="8"/>
        </w:numPr>
        <w:spacing w:line="360" w:lineRule="auto"/>
        <w:rPr>
          <w:rFonts w:asciiTheme="minorHAnsi" w:hAnsiTheme="minorHAnsi"/>
        </w:rPr>
      </w:pPr>
      <w:r>
        <w:rPr>
          <w:rFonts w:asciiTheme="minorHAnsi" w:hAnsiTheme="minorHAnsi"/>
        </w:rPr>
        <w:t>Minister</w:t>
      </w:r>
    </w:p>
    <w:p w:rsidR="005538F5" w:rsidRPr="00AD633B" w:rsidRDefault="005538F5" w:rsidP="00F253B4">
      <w:pPr>
        <w:pStyle w:val="ListParagraph"/>
        <w:numPr>
          <w:ilvl w:val="4"/>
          <w:numId w:val="8"/>
        </w:numPr>
        <w:spacing w:line="360" w:lineRule="auto"/>
        <w:rPr>
          <w:rFonts w:asciiTheme="minorHAnsi" w:hAnsiTheme="minorHAnsi"/>
        </w:rPr>
      </w:pPr>
      <w:r>
        <w:rPr>
          <w:rFonts w:asciiTheme="minorHAnsi" w:hAnsiTheme="minorHAnsi"/>
        </w:rPr>
        <w:t>If the Commission considers it in the public interest that another person brings the complaint</w:t>
      </w:r>
    </w:p>
    <w:p w:rsidR="005538F5" w:rsidRPr="00AD633B" w:rsidRDefault="005538F5" w:rsidP="00F253B4">
      <w:pPr>
        <w:spacing w:line="360" w:lineRule="auto"/>
        <w:rPr>
          <w:rFonts w:asciiTheme="minorHAnsi" w:hAnsiTheme="minorHAnsi"/>
        </w:rPr>
      </w:pPr>
    </w:p>
    <w:p w:rsidR="005538F5" w:rsidRPr="005538F5" w:rsidRDefault="005538F5" w:rsidP="00F253B4">
      <w:pPr>
        <w:pStyle w:val="ListParagraph"/>
        <w:numPr>
          <w:ilvl w:val="1"/>
          <w:numId w:val="8"/>
        </w:numPr>
        <w:spacing w:line="360" w:lineRule="auto"/>
        <w:rPr>
          <w:rFonts w:asciiTheme="minorHAnsi" w:hAnsiTheme="minorHAnsi"/>
        </w:rPr>
      </w:pPr>
      <w:r w:rsidRPr="005538F5">
        <w:rPr>
          <w:rFonts w:asciiTheme="minorHAnsi" w:hAnsiTheme="minorHAnsi"/>
          <w:u w:val="single"/>
        </w:rPr>
        <w:t>How to make a complaint</w:t>
      </w:r>
    </w:p>
    <w:p w:rsidR="005538F5" w:rsidRPr="005538F5" w:rsidRDefault="005538F5" w:rsidP="00F253B4">
      <w:pPr>
        <w:pStyle w:val="ListParagraph"/>
        <w:numPr>
          <w:ilvl w:val="2"/>
          <w:numId w:val="8"/>
        </w:numPr>
        <w:spacing w:line="360" w:lineRule="auto"/>
        <w:rPr>
          <w:rFonts w:asciiTheme="minorHAnsi" w:hAnsiTheme="minorHAnsi"/>
        </w:rPr>
      </w:pPr>
      <w:r w:rsidRPr="005538F5">
        <w:rPr>
          <w:rFonts w:asciiTheme="minorHAnsi" w:hAnsiTheme="minorHAnsi"/>
        </w:rPr>
        <w:t>A person may make a complaint to HQCC either orally or in writing (s45 HQCCA) however an oral complaint must be confirmed in writing (s46).  The identity of the complainant must also be revealed unless it is in the public interest not to (s47).</w:t>
      </w:r>
    </w:p>
    <w:p w:rsidR="005538F5" w:rsidRDefault="005538F5" w:rsidP="00F253B4">
      <w:pPr>
        <w:spacing w:line="360" w:lineRule="auto"/>
        <w:rPr>
          <w:rFonts w:asciiTheme="minorHAnsi" w:hAnsiTheme="minorHAnsi"/>
        </w:rPr>
      </w:pPr>
    </w:p>
    <w:p w:rsidR="005538F5" w:rsidRPr="005538F5" w:rsidRDefault="005538F5" w:rsidP="00F253B4">
      <w:pPr>
        <w:pStyle w:val="ListParagraph"/>
        <w:numPr>
          <w:ilvl w:val="1"/>
          <w:numId w:val="8"/>
        </w:numPr>
        <w:spacing w:line="360" w:lineRule="auto"/>
        <w:rPr>
          <w:rFonts w:asciiTheme="minorHAnsi" w:hAnsiTheme="minorHAnsi"/>
          <w:u w:val="single"/>
        </w:rPr>
      </w:pPr>
      <w:r w:rsidRPr="005538F5">
        <w:rPr>
          <w:rFonts w:asciiTheme="minorHAnsi" w:hAnsiTheme="minorHAnsi"/>
          <w:u w:val="single"/>
        </w:rPr>
        <w:t>Dealing with a Health QUALITY Complaint</w:t>
      </w:r>
    </w:p>
    <w:p w:rsidR="005538F5" w:rsidRPr="005538F5" w:rsidRDefault="005538F5" w:rsidP="00F253B4">
      <w:pPr>
        <w:pStyle w:val="ListParagraph"/>
        <w:numPr>
          <w:ilvl w:val="2"/>
          <w:numId w:val="8"/>
        </w:numPr>
        <w:spacing w:line="360" w:lineRule="auto"/>
        <w:rPr>
          <w:rFonts w:asciiTheme="minorHAnsi" w:hAnsiTheme="minorHAnsi"/>
        </w:rPr>
      </w:pPr>
      <w:r w:rsidRPr="005538F5">
        <w:rPr>
          <w:rFonts w:asciiTheme="minorHAnsi" w:hAnsiTheme="minorHAnsi"/>
        </w:rPr>
        <w:t>After receiving a Health Quality Complaint the HQCC may:</w:t>
      </w:r>
    </w:p>
    <w:p w:rsidR="005538F5" w:rsidRPr="00A14E01" w:rsidRDefault="005538F5" w:rsidP="00F253B4">
      <w:pPr>
        <w:pStyle w:val="ListParagraph"/>
        <w:numPr>
          <w:ilvl w:val="3"/>
          <w:numId w:val="8"/>
        </w:numPr>
        <w:spacing w:line="360" w:lineRule="auto"/>
        <w:rPr>
          <w:rFonts w:asciiTheme="minorHAnsi" w:hAnsiTheme="minorHAnsi"/>
        </w:rPr>
      </w:pPr>
      <w:r>
        <w:rPr>
          <w:rFonts w:asciiTheme="minorHAnsi" w:hAnsiTheme="minorHAnsi"/>
        </w:rPr>
        <w:t>S</w:t>
      </w:r>
      <w:r w:rsidRPr="00A14E01">
        <w:rPr>
          <w:rFonts w:asciiTheme="minorHAnsi" w:hAnsiTheme="minorHAnsi"/>
        </w:rPr>
        <w:t xml:space="preserve">eek information from a provider, user, the complainant </w:t>
      </w:r>
      <w:r>
        <w:rPr>
          <w:rFonts w:asciiTheme="minorHAnsi" w:hAnsiTheme="minorHAnsi"/>
        </w:rPr>
        <w:t>or anyone else: s50(2)(a)</w:t>
      </w:r>
    </w:p>
    <w:p w:rsidR="005538F5" w:rsidRDefault="005538F5" w:rsidP="00F253B4">
      <w:pPr>
        <w:pStyle w:val="ListParagraph"/>
        <w:numPr>
          <w:ilvl w:val="3"/>
          <w:numId w:val="8"/>
        </w:numPr>
        <w:spacing w:line="360" w:lineRule="auto"/>
        <w:rPr>
          <w:rFonts w:asciiTheme="minorHAnsi" w:hAnsiTheme="minorHAnsi"/>
        </w:rPr>
      </w:pPr>
      <w:r>
        <w:rPr>
          <w:rFonts w:asciiTheme="minorHAnsi" w:hAnsiTheme="minorHAnsi"/>
        </w:rPr>
        <w:t>Refer to the registration board: s50(2)(b)</w:t>
      </w:r>
    </w:p>
    <w:p w:rsidR="005538F5" w:rsidRPr="00A14E01" w:rsidRDefault="005538F5" w:rsidP="00F253B4">
      <w:pPr>
        <w:pStyle w:val="ListParagraph"/>
        <w:numPr>
          <w:ilvl w:val="3"/>
          <w:numId w:val="8"/>
        </w:numPr>
        <w:spacing w:line="360" w:lineRule="auto"/>
        <w:rPr>
          <w:rFonts w:asciiTheme="minorHAnsi" w:hAnsiTheme="minorHAnsi"/>
        </w:rPr>
      </w:pPr>
      <w:r>
        <w:rPr>
          <w:rFonts w:asciiTheme="minorHAnsi" w:hAnsiTheme="minorHAnsi"/>
        </w:rPr>
        <w:t xml:space="preserve">Refer to another Entity </w:t>
      </w:r>
      <w:r w:rsidRPr="00A14E01">
        <w:rPr>
          <w:rFonts w:asciiTheme="minorHAnsi" w:hAnsiTheme="minorHAnsi"/>
        </w:rPr>
        <w:t>the commission considers is able to investigate or take other appropr</w:t>
      </w:r>
      <w:r>
        <w:rPr>
          <w:rFonts w:asciiTheme="minorHAnsi" w:hAnsiTheme="minorHAnsi"/>
        </w:rPr>
        <w:t>iate action about the complaint: s50(2)(c)</w:t>
      </w:r>
    </w:p>
    <w:p w:rsidR="005538F5" w:rsidRDefault="005538F5" w:rsidP="00F253B4">
      <w:pPr>
        <w:pStyle w:val="ListParagraph"/>
        <w:numPr>
          <w:ilvl w:val="3"/>
          <w:numId w:val="8"/>
        </w:numPr>
        <w:spacing w:line="360" w:lineRule="auto"/>
        <w:rPr>
          <w:rFonts w:asciiTheme="minorHAnsi" w:hAnsiTheme="minorHAnsi"/>
        </w:rPr>
      </w:pPr>
      <w:r>
        <w:rPr>
          <w:rFonts w:asciiTheme="minorHAnsi" w:hAnsiTheme="minorHAnsi"/>
        </w:rPr>
        <w:t>Investigate the complaint: s50(2)(d)</w:t>
      </w:r>
    </w:p>
    <w:p w:rsidR="005538F5" w:rsidRDefault="005538F5" w:rsidP="00F253B4">
      <w:pPr>
        <w:pStyle w:val="ListParagraph"/>
        <w:numPr>
          <w:ilvl w:val="3"/>
          <w:numId w:val="8"/>
        </w:numPr>
        <w:spacing w:line="360" w:lineRule="auto"/>
        <w:rPr>
          <w:rFonts w:asciiTheme="minorHAnsi" w:hAnsiTheme="minorHAnsi"/>
        </w:rPr>
      </w:pPr>
      <w:r>
        <w:rPr>
          <w:rFonts w:asciiTheme="minorHAnsi" w:hAnsiTheme="minorHAnsi"/>
        </w:rPr>
        <w:t>Inquire into the complaint under Chapter 8: s50(2)(e)</w:t>
      </w:r>
    </w:p>
    <w:p w:rsidR="005538F5" w:rsidRDefault="00B75202" w:rsidP="00F253B4">
      <w:pPr>
        <w:pStyle w:val="ListParagraph"/>
        <w:numPr>
          <w:ilvl w:val="3"/>
          <w:numId w:val="8"/>
        </w:numPr>
        <w:spacing w:line="360" w:lineRule="auto"/>
        <w:rPr>
          <w:rFonts w:asciiTheme="minorHAnsi" w:hAnsiTheme="minorHAnsi"/>
        </w:rPr>
      </w:pPr>
      <w:r>
        <w:rPr>
          <w:rFonts w:asciiTheme="minorHAnsi" w:hAnsiTheme="minorHAnsi"/>
          <w:noProof/>
          <w:lang w:eastAsia="en-AU"/>
        </w:rPr>
        <w:drawing>
          <wp:anchor distT="0" distB="0" distL="114300" distR="114300" simplePos="0" relativeHeight="251658240" behindDoc="0" locked="0" layoutInCell="1" allowOverlap="1">
            <wp:simplePos x="0" y="0"/>
            <wp:positionH relativeFrom="column">
              <wp:posOffset>-163772</wp:posOffset>
            </wp:positionH>
            <wp:positionV relativeFrom="paragraph">
              <wp:posOffset>155841</wp:posOffset>
            </wp:positionV>
            <wp:extent cx="6032310" cy="3207224"/>
            <wp:effectExtent l="0" t="0" r="0" b="0"/>
            <wp:wrapNone/>
            <wp:docPr id="7" name="Diagram 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anchor>
        </w:drawing>
      </w:r>
      <w:r w:rsidR="005538F5">
        <w:rPr>
          <w:rFonts w:asciiTheme="minorHAnsi" w:hAnsiTheme="minorHAnsi"/>
        </w:rPr>
        <w:t>Take no action: s50(3)</w:t>
      </w:r>
    </w:p>
    <w:p w:rsidR="005538F5" w:rsidRPr="00740030" w:rsidRDefault="005538F5" w:rsidP="00F253B4">
      <w:pPr>
        <w:pStyle w:val="ListParagraph"/>
        <w:numPr>
          <w:ilvl w:val="3"/>
          <w:numId w:val="8"/>
        </w:numPr>
        <w:spacing w:line="360" w:lineRule="auto"/>
        <w:rPr>
          <w:rFonts w:asciiTheme="minorHAnsi" w:hAnsiTheme="minorHAnsi"/>
        </w:rPr>
      </w:pPr>
      <w:r>
        <w:rPr>
          <w:rFonts w:asciiTheme="minorHAnsi" w:hAnsiTheme="minorHAnsi"/>
        </w:rPr>
        <w:t>Conciliate: s61(2)(a)</w:t>
      </w:r>
    </w:p>
    <w:p w:rsidR="005538F5" w:rsidRDefault="005538F5" w:rsidP="00F253B4">
      <w:pPr>
        <w:spacing w:line="360" w:lineRule="auto"/>
        <w:rPr>
          <w:rFonts w:asciiTheme="minorHAnsi" w:hAnsiTheme="minorHAnsi"/>
        </w:rPr>
      </w:pPr>
    </w:p>
    <w:p w:rsidR="007609B2" w:rsidRDefault="007609B2" w:rsidP="00F253B4">
      <w:pPr>
        <w:spacing w:line="360" w:lineRule="auto"/>
        <w:rPr>
          <w:rFonts w:asciiTheme="minorHAnsi" w:hAnsiTheme="minorHAnsi"/>
        </w:rPr>
      </w:pPr>
    </w:p>
    <w:p w:rsidR="007609B2" w:rsidRDefault="007609B2" w:rsidP="00F253B4">
      <w:pPr>
        <w:spacing w:line="360" w:lineRule="auto"/>
        <w:rPr>
          <w:rFonts w:asciiTheme="minorHAnsi" w:hAnsiTheme="minorHAnsi"/>
        </w:rPr>
      </w:pPr>
    </w:p>
    <w:p w:rsidR="007609B2" w:rsidRDefault="007609B2" w:rsidP="00F253B4">
      <w:pPr>
        <w:spacing w:line="360" w:lineRule="auto"/>
        <w:rPr>
          <w:rFonts w:asciiTheme="minorHAnsi" w:hAnsiTheme="minorHAnsi"/>
        </w:rPr>
      </w:pPr>
    </w:p>
    <w:p w:rsidR="007609B2" w:rsidRDefault="007609B2" w:rsidP="00F253B4">
      <w:pPr>
        <w:spacing w:line="360" w:lineRule="auto"/>
        <w:rPr>
          <w:rFonts w:asciiTheme="minorHAnsi" w:hAnsiTheme="minorHAnsi"/>
        </w:rPr>
      </w:pPr>
    </w:p>
    <w:p w:rsidR="007609B2" w:rsidRDefault="007609B2" w:rsidP="00F253B4">
      <w:pPr>
        <w:spacing w:line="360" w:lineRule="auto"/>
        <w:rPr>
          <w:rFonts w:asciiTheme="minorHAnsi" w:hAnsiTheme="minorHAnsi"/>
        </w:rPr>
      </w:pPr>
    </w:p>
    <w:p w:rsidR="007609B2" w:rsidRDefault="007609B2" w:rsidP="00F253B4">
      <w:pPr>
        <w:spacing w:line="360" w:lineRule="auto"/>
        <w:rPr>
          <w:rFonts w:asciiTheme="minorHAnsi" w:hAnsiTheme="minorHAnsi"/>
        </w:rPr>
      </w:pPr>
    </w:p>
    <w:p w:rsidR="005538F5" w:rsidRPr="005538F5" w:rsidRDefault="005538F5" w:rsidP="00F253B4">
      <w:pPr>
        <w:pStyle w:val="ListParagraph"/>
        <w:numPr>
          <w:ilvl w:val="1"/>
          <w:numId w:val="8"/>
        </w:numPr>
        <w:spacing w:line="360" w:lineRule="auto"/>
        <w:rPr>
          <w:rFonts w:asciiTheme="minorHAnsi" w:hAnsiTheme="minorHAnsi"/>
          <w:u w:val="single"/>
        </w:rPr>
      </w:pPr>
      <w:r w:rsidRPr="005538F5">
        <w:rPr>
          <w:rFonts w:asciiTheme="minorHAnsi" w:hAnsiTheme="minorHAnsi"/>
          <w:u w:val="single"/>
        </w:rPr>
        <w:lastRenderedPageBreak/>
        <w:t>Dealing with a Health SERVICE Complaint</w:t>
      </w:r>
    </w:p>
    <w:p w:rsidR="005538F5" w:rsidRPr="005538F5" w:rsidRDefault="005538F5" w:rsidP="00F253B4">
      <w:pPr>
        <w:pStyle w:val="ListParagraph"/>
        <w:numPr>
          <w:ilvl w:val="2"/>
          <w:numId w:val="8"/>
        </w:numPr>
        <w:spacing w:line="360" w:lineRule="auto"/>
        <w:rPr>
          <w:rFonts w:asciiTheme="minorHAnsi" w:hAnsiTheme="minorHAnsi"/>
        </w:rPr>
      </w:pPr>
      <w:r w:rsidRPr="005538F5">
        <w:rPr>
          <w:rFonts w:asciiTheme="minorHAnsi" w:hAnsiTheme="minorHAnsi"/>
        </w:rPr>
        <w:t>After receiving a Health Service Complaint the HQCC must immediately asses the complaint where satisfied under s53(2):</w:t>
      </w:r>
    </w:p>
    <w:p w:rsidR="005538F5" w:rsidRDefault="005538F5" w:rsidP="00F253B4">
      <w:pPr>
        <w:pStyle w:val="ListParagraph"/>
        <w:numPr>
          <w:ilvl w:val="3"/>
          <w:numId w:val="8"/>
        </w:numPr>
        <w:spacing w:line="360" w:lineRule="auto"/>
      </w:pPr>
      <w:r w:rsidRPr="003C0043">
        <w:t>the complainant is eligible to</w:t>
      </w:r>
      <w:r>
        <w:t xml:space="preserve"> </w:t>
      </w:r>
      <w:r w:rsidRPr="003C0043">
        <w:t>make the health service complaint</w:t>
      </w:r>
    </w:p>
    <w:p w:rsidR="005538F5" w:rsidRDefault="005538F5" w:rsidP="00F253B4">
      <w:pPr>
        <w:pStyle w:val="ListParagraph"/>
        <w:numPr>
          <w:ilvl w:val="3"/>
          <w:numId w:val="8"/>
        </w:numPr>
        <w:spacing w:line="360" w:lineRule="auto"/>
      </w:pPr>
      <w:r>
        <w:t>the complaint is confirmed in writing</w:t>
      </w:r>
    </w:p>
    <w:p w:rsidR="005538F5" w:rsidRDefault="005538F5" w:rsidP="00F253B4">
      <w:pPr>
        <w:pStyle w:val="ListParagraph"/>
        <w:numPr>
          <w:ilvl w:val="3"/>
          <w:numId w:val="8"/>
        </w:numPr>
        <w:spacing w:line="360" w:lineRule="auto"/>
      </w:pPr>
      <w:r>
        <w:t>the complainant’s identity is revealed</w:t>
      </w:r>
    </w:p>
    <w:p w:rsidR="005538F5" w:rsidRDefault="005538F5" w:rsidP="00F253B4">
      <w:pPr>
        <w:spacing w:line="360" w:lineRule="auto"/>
      </w:pPr>
    </w:p>
    <w:p w:rsidR="005538F5" w:rsidRDefault="005538F5" w:rsidP="00F253B4">
      <w:pPr>
        <w:pStyle w:val="ListParagraph"/>
        <w:numPr>
          <w:ilvl w:val="2"/>
          <w:numId w:val="8"/>
        </w:numPr>
        <w:spacing w:line="360" w:lineRule="auto"/>
      </w:pPr>
      <w:r>
        <w:t>Notice must be provided to the complainant, provider and registration board within 14 working days that the complaint is being assessed (s54) and the complaint must be assessed within 60 days of starting and may not be extended for more than 30 days (s58).</w:t>
      </w:r>
    </w:p>
    <w:p w:rsidR="005538F5" w:rsidRDefault="005538F5" w:rsidP="00F253B4">
      <w:pPr>
        <w:pStyle w:val="ListParagraph"/>
        <w:numPr>
          <w:ilvl w:val="2"/>
          <w:numId w:val="8"/>
        </w:numPr>
        <w:spacing w:line="360" w:lineRule="auto"/>
      </w:pPr>
      <w:r>
        <w:t>Where the HQCC decides to take action the HQCC may:</w:t>
      </w:r>
    </w:p>
    <w:p w:rsidR="005538F5" w:rsidRPr="008B6D47" w:rsidRDefault="005538F5" w:rsidP="00F253B4">
      <w:pPr>
        <w:pStyle w:val="ListParagraph"/>
        <w:numPr>
          <w:ilvl w:val="3"/>
          <w:numId w:val="8"/>
        </w:numPr>
        <w:spacing w:line="360" w:lineRule="auto"/>
      </w:pPr>
      <w:r>
        <w:t>Conciliate under Chapter 6: s</w:t>
      </w:r>
      <w:r>
        <w:rPr>
          <w:rFonts w:asciiTheme="minorHAnsi" w:hAnsiTheme="minorHAnsi"/>
        </w:rPr>
        <w:t>61(2)(a)</w:t>
      </w:r>
    </w:p>
    <w:p w:rsidR="005538F5" w:rsidRPr="008B6D47" w:rsidRDefault="005538F5" w:rsidP="00F253B4">
      <w:pPr>
        <w:pStyle w:val="ListParagraph"/>
        <w:numPr>
          <w:ilvl w:val="3"/>
          <w:numId w:val="8"/>
        </w:numPr>
        <w:spacing w:line="360" w:lineRule="auto"/>
      </w:pPr>
      <w:r>
        <w:rPr>
          <w:rFonts w:asciiTheme="minorHAnsi" w:hAnsiTheme="minorHAnsi"/>
        </w:rPr>
        <w:t>Investigate under Chapter 7: s61(2)(b)</w:t>
      </w:r>
    </w:p>
    <w:p w:rsidR="005538F5" w:rsidRDefault="005538F5" w:rsidP="00F253B4">
      <w:pPr>
        <w:pStyle w:val="ListParagraph"/>
        <w:numPr>
          <w:ilvl w:val="3"/>
          <w:numId w:val="8"/>
        </w:numPr>
        <w:spacing w:line="360" w:lineRule="auto"/>
      </w:pPr>
      <w:r>
        <w:t xml:space="preserve">Where the provider is registered, refer the complaint to the registration board: </w:t>
      </w:r>
      <w:r>
        <w:rPr>
          <w:rFonts w:asciiTheme="minorHAnsi" w:hAnsiTheme="minorHAnsi"/>
        </w:rPr>
        <w:t>s61(2)(c)</w:t>
      </w:r>
    </w:p>
    <w:p w:rsidR="005538F5" w:rsidRDefault="005538F5" w:rsidP="00F253B4">
      <w:pPr>
        <w:pStyle w:val="ListParagraph"/>
        <w:numPr>
          <w:ilvl w:val="3"/>
          <w:numId w:val="8"/>
        </w:numPr>
        <w:spacing w:line="360" w:lineRule="auto"/>
      </w:pPr>
      <w:r>
        <w:t xml:space="preserve">Refer to any other entity </w:t>
      </w:r>
      <w:r w:rsidRPr="008B6D47">
        <w:t>the</w:t>
      </w:r>
      <w:r>
        <w:t xml:space="preserve"> </w:t>
      </w:r>
      <w:r w:rsidRPr="008B6D47">
        <w:t>commission considers is able to investigate or take other</w:t>
      </w:r>
      <w:r>
        <w:t xml:space="preserve"> </w:t>
      </w:r>
      <w:r w:rsidRPr="008B6D47">
        <w:t>appropriate action about the complaint</w:t>
      </w:r>
      <w:r>
        <w:t xml:space="preserve">: </w:t>
      </w:r>
      <w:r>
        <w:rPr>
          <w:rFonts w:asciiTheme="minorHAnsi" w:hAnsiTheme="minorHAnsi"/>
        </w:rPr>
        <w:t>s61(2)(d)</w:t>
      </w:r>
    </w:p>
    <w:p w:rsidR="005538F5" w:rsidRDefault="005538F5" w:rsidP="00F253B4">
      <w:pPr>
        <w:spacing w:line="360" w:lineRule="auto"/>
      </w:pPr>
    </w:p>
    <w:p w:rsidR="005538F5" w:rsidRDefault="005538F5" w:rsidP="00F253B4">
      <w:pPr>
        <w:pStyle w:val="ListParagraph"/>
        <w:numPr>
          <w:ilvl w:val="2"/>
          <w:numId w:val="8"/>
        </w:numPr>
        <w:spacing w:line="360" w:lineRule="auto"/>
      </w:pPr>
      <w:r>
        <w:t>When the complaint has been assessed the HQCC must take no action (s59) where the complaint is:</w:t>
      </w:r>
    </w:p>
    <w:p w:rsidR="005538F5" w:rsidRDefault="005538F5" w:rsidP="00F253B4">
      <w:pPr>
        <w:pStyle w:val="ListParagraph"/>
        <w:numPr>
          <w:ilvl w:val="3"/>
          <w:numId w:val="8"/>
        </w:numPr>
        <w:spacing w:line="360" w:lineRule="auto"/>
      </w:pPr>
      <w:r w:rsidRPr="008B6D47">
        <w:t>frivolous, vexatious or trivial</w:t>
      </w:r>
      <w:r>
        <w:t xml:space="preserve">; </w:t>
      </w:r>
      <w:r w:rsidRPr="008B6D47">
        <w:t>misconceived or lacking in substance</w:t>
      </w:r>
      <w:r>
        <w:t xml:space="preserve">; or </w:t>
      </w:r>
      <w:r w:rsidRPr="008B6D47">
        <w:t>has been adequately dealt with by the commission</w:t>
      </w:r>
      <w:r>
        <w:t xml:space="preserve"> </w:t>
      </w:r>
      <w:r w:rsidRPr="008B6D47">
        <w:t>or another public authority</w:t>
      </w:r>
      <w:r>
        <w:t>: s63(1)</w:t>
      </w:r>
    </w:p>
    <w:p w:rsidR="005538F5" w:rsidRDefault="005538F5" w:rsidP="00F253B4">
      <w:pPr>
        <w:pStyle w:val="ListParagraph"/>
        <w:numPr>
          <w:ilvl w:val="3"/>
          <w:numId w:val="8"/>
        </w:numPr>
        <w:spacing w:line="360" w:lineRule="auto"/>
      </w:pPr>
      <w:r w:rsidRPr="008B6D47">
        <w:t>the matter of complaint arose more than 1 year before</w:t>
      </w:r>
      <w:r>
        <w:t xml:space="preserve"> </w:t>
      </w:r>
      <w:r w:rsidRPr="008B6D47">
        <w:t>the complaint was made to the commission</w:t>
      </w:r>
      <w:r>
        <w:t xml:space="preserve"> (s63(3)) unless the providers registration is likely to be suspended cancelled (s63(4)).</w:t>
      </w:r>
    </w:p>
    <w:p w:rsidR="005538F5" w:rsidRDefault="005538F5" w:rsidP="00F253B4">
      <w:pPr>
        <w:spacing w:line="360" w:lineRule="auto"/>
      </w:pPr>
    </w:p>
    <w:p w:rsidR="005538F5" w:rsidRPr="005538F5" w:rsidRDefault="005538F5" w:rsidP="00F253B4">
      <w:pPr>
        <w:pStyle w:val="ListParagraph"/>
        <w:numPr>
          <w:ilvl w:val="1"/>
          <w:numId w:val="8"/>
        </w:numPr>
        <w:spacing w:line="360" w:lineRule="auto"/>
        <w:rPr>
          <w:u w:val="single"/>
        </w:rPr>
      </w:pPr>
      <w:r w:rsidRPr="005538F5">
        <w:rPr>
          <w:u w:val="single"/>
        </w:rPr>
        <w:t>Has there been an act of reprisal (</w:t>
      </w:r>
      <w:r w:rsidRPr="005538F5">
        <w:rPr>
          <w:i/>
          <w:u w:val="single"/>
        </w:rPr>
        <w:t>revenge</w:t>
      </w:r>
      <w:r w:rsidRPr="005538F5">
        <w:rPr>
          <w:u w:val="single"/>
        </w:rPr>
        <w:t>)?</w:t>
      </w:r>
    </w:p>
    <w:p w:rsidR="005538F5" w:rsidRDefault="005538F5" w:rsidP="00F253B4">
      <w:pPr>
        <w:pStyle w:val="ListParagraph"/>
        <w:numPr>
          <w:ilvl w:val="2"/>
          <w:numId w:val="8"/>
        </w:numPr>
        <w:spacing w:line="360" w:lineRule="auto"/>
      </w:pPr>
      <w:r>
        <w:t>Section 193 provides it is unlawful for a person to cause or attempt to cause detriment to another by claiming they have or will make a complaint or assist in a complaint.  Section 194 states that a person who takes a reprisal is guilty of an offence punishable by 2 years imprisonment or 167 penalty units (@ $75 each PSA s5).  A reprisal is also a tort and an offender is also liable in damages or any other appropriate remedy (s195).</w:t>
      </w:r>
    </w:p>
    <w:p w:rsidR="005538F5" w:rsidRDefault="005538F5" w:rsidP="00F253B4">
      <w:pPr>
        <w:spacing w:line="360" w:lineRule="auto"/>
      </w:pPr>
    </w:p>
    <w:p w:rsidR="00183046" w:rsidRDefault="00183046" w:rsidP="00183046">
      <w:pPr>
        <w:pStyle w:val="Heading2a"/>
        <w:numPr>
          <w:ilvl w:val="0"/>
          <w:numId w:val="8"/>
        </w:numPr>
        <w:spacing w:line="360" w:lineRule="auto"/>
      </w:pPr>
      <w:r>
        <w:lastRenderedPageBreak/>
        <w:t>DISCIPLINARY ACTION – IF YOU WANT THE PROFESSIONAL TO BE DISCIPLINED</w:t>
      </w:r>
    </w:p>
    <w:p w:rsidR="00183046" w:rsidRDefault="00183046" w:rsidP="00183046">
      <w:pPr>
        <w:pStyle w:val="ListParagraph"/>
        <w:numPr>
          <w:ilvl w:val="1"/>
          <w:numId w:val="16"/>
        </w:numPr>
      </w:pPr>
      <w:r>
        <w:t xml:space="preserve">Dealt with under the Health </w:t>
      </w:r>
      <w:r w:rsidR="00B212D0">
        <w:t>Practitioner</w:t>
      </w:r>
      <w:r>
        <w:t xml:space="preserve"> (Professional Standards) Act 1999 </w:t>
      </w:r>
    </w:p>
    <w:p w:rsidR="00183046" w:rsidRDefault="00183046" w:rsidP="00183046">
      <w:pPr>
        <w:pStyle w:val="ListParagraph"/>
        <w:numPr>
          <w:ilvl w:val="2"/>
          <w:numId w:val="16"/>
        </w:numPr>
      </w:pPr>
      <w:r>
        <w:t>Purpose is to (s 123 HPPSA)</w:t>
      </w:r>
    </w:p>
    <w:p w:rsidR="00183046" w:rsidRDefault="00183046" w:rsidP="00183046">
      <w:pPr>
        <w:pStyle w:val="ListParagraph"/>
        <w:numPr>
          <w:ilvl w:val="3"/>
          <w:numId w:val="16"/>
        </w:numPr>
      </w:pPr>
      <w:r>
        <w:t>Protect the public</w:t>
      </w:r>
    </w:p>
    <w:p w:rsidR="00183046" w:rsidRDefault="00183046" w:rsidP="00183046">
      <w:pPr>
        <w:pStyle w:val="ListParagraph"/>
        <w:numPr>
          <w:ilvl w:val="3"/>
          <w:numId w:val="16"/>
        </w:numPr>
      </w:pPr>
      <w:r>
        <w:t xml:space="preserve">Uphold </w:t>
      </w:r>
      <w:r w:rsidR="00B212D0">
        <w:t>standards</w:t>
      </w:r>
      <w:r>
        <w:t xml:space="preserve"> of practice within the health professions</w:t>
      </w:r>
    </w:p>
    <w:p w:rsidR="00183046" w:rsidRDefault="00183046" w:rsidP="00183046">
      <w:pPr>
        <w:pStyle w:val="ListParagraph"/>
        <w:numPr>
          <w:ilvl w:val="3"/>
          <w:numId w:val="16"/>
        </w:numPr>
      </w:pPr>
      <w:r>
        <w:t>Maintain public confidence in the health professions</w:t>
      </w:r>
    </w:p>
    <w:p w:rsidR="00183046" w:rsidRDefault="00183046" w:rsidP="00183046">
      <w:pPr>
        <w:pStyle w:val="ListParagraph"/>
        <w:numPr>
          <w:ilvl w:val="2"/>
          <w:numId w:val="16"/>
        </w:numPr>
      </w:pPr>
      <w:r>
        <w:t xml:space="preserve">Protective purpose (but deterrent aspect as well) </w:t>
      </w:r>
    </w:p>
    <w:p w:rsidR="00183046" w:rsidRDefault="00183046" w:rsidP="00183046">
      <w:pPr>
        <w:pStyle w:val="ListParagraph"/>
        <w:numPr>
          <w:ilvl w:val="3"/>
          <w:numId w:val="16"/>
        </w:numPr>
      </w:pPr>
      <w:r>
        <w:t xml:space="preserve">Re A; Craig </w:t>
      </w:r>
    </w:p>
    <w:p w:rsidR="00183046" w:rsidRDefault="00183046" w:rsidP="00183046"/>
    <w:p w:rsidR="00183046" w:rsidRPr="00183046" w:rsidRDefault="00183046" w:rsidP="00183046">
      <w:pPr>
        <w:rPr>
          <w:b/>
        </w:rPr>
      </w:pPr>
      <w:r w:rsidRPr="00183046">
        <w:rPr>
          <w:b/>
        </w:rPr>
        <w:t>Disciplinary bodies include:</w:t>
      </w:r>
    </w:p>
    <w:p w:rsidR="005538F5" w:rsidRDefault="005538F5" w:rsidP="00F253B4">
      <w:pPr>
        <w:pStyle w:val="ListParagraph"/>
        <w:spacing w:line="360" w:lineRule="auto"/>
        <w:ind w:left="360"/>
      </w:pPr>
      <w:r>
        <w:rPr>
          <w:noProof/>
          <w:lang w:eastAsia="en-AU"/>
        </w:rPr>
        <w:drawing>
          <wp:inline distT="0" distB="0" distL="0" distR="0">
            <wp:extent cx="4629150" cy="29337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4629150" cy="2933700"/>
                    </a:xfrm>
                    <a:prstGeom prst="rect">
                      <a:avLst/>
                    </a:prstGeom>
                    <a:noFill/>
                    <a:ln w="9525">
                      <a:noFill/>
                      <a:miter lim="800000"/>
                      <a:headEnd/>
                      <a:tailEnd/>
                    </a:ln>
                  </pic:spPr>
                </pic:pic>
              </a:graphicData>
            </a:graphic>
          </wp:inline>
        </w:drawing>
      </w:r>
    </w:p>
    <w:p w:rsidR="0096484B" w:rsidRDefault="0096484B" w:rsidP="00F253B4">
      <w:pPr>
        <w:pStyle w:val="Heading2aa"/>
        <w:numPr>
          <w:ilvl w:val="0"/>
          <w:numId w:val="0"/>
        </w:numPr>
        <w:spacing w:line="360" w:lineRule="auto"/>
        <w:ind w:left="360"/>
      </w:pPr>
    </w:p>
    <w:p w:rsidR="005538F5" w:rsidRDefault="0096484B" w:rsidP="00F253B4">
      <w:pPr>
        <w:pStyle w:val="Heading2aa"/>
        <w:numPr>
          <w:ilvl w:val="0"/>
          <w:numId w:val="8"/>
        </w:numPr>
        <w:shd w:val="clear" w:color="auto" w:fill="D9D9D9" w:themeFill="background1" w:themeFillShade="D9"/>
        <w:spacing w:line="360" w:lineRule="auto"/>
      </w:pPr>
      <w:r>
        <w:t>THE PROFESSIONAL BOARDS</w:t>
      </w:r>
    </w:p>
    <w:p w:rsidR="005538F5" w:rsidRPr="0096484B" w:rsidRDefault="005538F5" w:rsidP="00F253B4">
      <w:pPr>
        <w:spacing w:line="360" w:lineRule="auto"/>
        <w:rPr>
          <w:i/>
        </w:rPr>
      </w:pPr>
      <w:r w:rsidRPr="0096484B">
        <w:rPr>
          <w:i/>
        </w:rPr>
        <w:t>Board = a board established under a health practitioner registration Act – different boards exists for different HCP’s</w:t>
      </w:r>
    </w:p>
    <w:p w:rsidR="005538F5" w:rsidRDefault="005538F5" w:rsidP="00F253B4">
      <w:pPr>
        <w:spacing w:line="360" w:lineRule="auto"/>
      </w:pPr>
    </w:p>
    <w:p w:rsidR="00E4330D" w:rsidRDefault="005538F5" w:rsidP="00F253B4">
      <w:pPr>
        <w:pStyle w:val="ListParagraph"/>
        <w:numPr>
          <w:ilvl w:val="1"/>
          <w:numId w:val="8"/>
        </w:numPr>
        <w:spacing w:line="360" w:lineRule="auto"/>
      </w:pPr>
      <w:r>
        <w:t xml:space="preserve">A person may approach the individual board under which the practitioner is registered </w:t>
      </w:r>
      <w:r w:rsidRPr="003A06EA">
        <w:t>(Medical Board, Dental Board, etc)</w:t>
      </w:r>
      <w:r>
        <w:t xml:space="preserve"> to make a complaint against a practitioner.  </w:t>
      </w:r>
    </w:p>
    <w:p w:rsidR="005538F5" w:rsidRDefault="005538F5" w:rsidP="00E4330D">
      <w:pPr>
        <w:pStyle w:val="ListParagraph"/>
        <w:numPr>
          <w:ilvl w:val="2"/>
          <w:numId w:val="8"/>
        </w:numPr>
        <w:spacing w:line="360" w:lineRule="auto"/>
      </w:pPr>
      <w:r>
        <w:t>The disciplinary powers exercisable by these boards under the HPPSA are to:</w:t>
      </w:r>
    </w:p>
    <w:p w:rsidR="005538F5" w:rsidRPr="00C43750" w:rsidRDefault="005538F5" w:rsidP="00E4330D">
      <w:pPr>
        <w:pStyle w:val="ListParagraph"/>
        <w:numPr>
          <w:ilvl w:val="2"/>
          <w:numId w:val="8"/>
        </w:numPr>
        <w:spacing w:line="360" w:lineRule="auto"/>
      </w:pPr>
      <w:r w:rsidRPr="00C43750">
        <w:rPr>
          <w:lang w:val="en-US"/>
        </w:rPr>
        <w:t>Immediate suspension/imposition of conditions where serious potential risk and necessary to protect vulnerable persons (s 59)</w:t>
      </w:r>
    </w:p>
    <w:p w:rsidR="005538F5" w:rsidRDefault="005538F5" w:rsidP="00E4330D">
      <w:pPr>
        <w:pStyle w:val="ListParagraph"/>
        <w:numPr>
          <w:ilvl w:val="2"/>
          <w:numId w:val="8"/>
        </w:numPr>
        <w:spacing w:line="360" w:lineRule="auto"/>
      </w:pPr>
      <w:r w:rsidRPr="00C43750">
        <w:rPr>
          <w:lang w:val="en-US"/>
        </w:rPr>
        <w:t xml:space="preserve">Otherwise, can </w:t>
      </w:r>
      <w:r w:rsidRPr="00C43750">
        <w:t xml:space="preserve">advise, caution, reprimand/ enter into undertaking with </w:t>
      </w:r>
      <w:r>
        <w:t>registrant</w:t>
      </w:r>
      <w:r w:rsidRPr="00C43750">
        <w:t xml:space="preserve"> (s165)</w:t>
      </w:r>
    </w:p>
    <w:p w:rsidR="005538F5" w:rsidRDefault="005538F5" w:rsidP="00F253B4">
      <w:pPr>
        <w:pStyle w:val="ListParagraph"/>
        <w:numPr>
          <w:ilvl w:val="1"/>
          <w:numId w:val="8"/>
        </w:numPr>
        <w:spacing w:line="360" w:lineRule="auto"/>
      </w:pPr>
      <w:r>
        <w:t>Once a complaint is received the Board must investigate and start disciplinary proceedings or refer the m</w:t>
      </w:r>
      <w:r w:rsidR="00E4330D">
        <w:t xml:space="preserve">atter to a PCPR or the Tribunal (s53) </w:t>
      </w:r>
    </w:p>
    <w:p w:rsidR="00E4330D" w:rsidRDefault="00E4330D" w:rsidP="00E4330D">
      <w:pPr>
        <w:pStyle w:val="ListParagraph"/>
        <w:numPr>
          <w:ilvl w:val="2"/>
          <w:numId w:val="8"/>
        </w:numPr>
        <w:spacing w:line="360" w:lineRule="auto"/>
      </w:pPr>
      <w:r>
        <w:t xml:space="preserve">If a hearing is held they are normally closed to the public </w:t>
      </w:r>
    </w:p>
    <w:p w:rsidR="00E4330D" w:rsidRPr="00E4330D" w:rsidRDefault="00E4330D" w:rsidP="00E4330D">
      <w:pPr>
        <w:pStyle w:val="ListParagraph"/>
        <w:numPr>
          <w:ilvl w:val="1"/>
          <w:numId w:val="8"/>
        </w:numPr>
        <w:spacing w:line="360" w:lineRule="auto"/>
      </w:pPr>
      <w:r>
        <w:rPr>
          <w:b/>
        </w:rPr>
        <w:t>Who complains to these guys</w:t>
      </w:r>
    </w:p>
    <w:p w:rsidR="00E4330D" w:rsidRDefault="00E4330D" w:rsidP="00E4330D">
      <w:pPr>
        <w:pStyle w:val="ListParagraph"/>
        <w:numPr>
          <w:ilvl w:val="2"/>
          <w:numId w:val="8"/>
        </w:numPr>
        <w:spacing w:line="360" w:lineRule="auto"/>
      </w:pPr>
      <w:r>
        <w:t xml:space="preserve">Can receive complaints directly from other people in the profession </w:t>
      </w:r>
    </w:p>
    <w:p w:rsidR="0012194C" w:rsidRDefault="0012194C" w:rsidP="0012194C">
      <w:pPr>
        <w:pStyle w:val="ListParagraph"/>
        <w:numPr>
          <w:ilvl w:val="3"/>
          <w:numId w:val="8"/>
        </w:numPr>
        <w:spacing w:line="360" w:lineRule="auto"/>
      </w:pPr>
      <w:r>
        <w:lastRenderedPageBreak/>
        <w:t xml:space="preserve">Often criticised as a form of self regulation that is not transparent enough </w:t>
      </w:r>
    </w:p>
    <w:p w:rsidR="00DC2D89" w:rsidRPr="00DC2D89" w:rsidRDefault="00DC2D89" w:rsidP="00DC2D89">
      <w:pPr>
        <w:pStyle w:val="ListParagraph"/>
        <w:numPr>
          <w:ilvl w:val="1"/>
          <w:numId w:val="8"/>
        </w:numPr>
        <w:spacing w:line="360" w:lineRule="auto"/>
      </w:pPr>
      <w:r>
        <w:rPr>
          <w:b/>
        </w:rPr>
        <w:t>No power to suspend</w:t>
      </w:r>
    </w:p>
    <w:p w:rsidR="00DC2D89" w:rsidRDefault="00DC2D89" w:rsidP="00DC2D89">
      <w:pPr>
        <w:pStyle w:val="ListParagraph"/>
        <w:numPr>
          <w:ilvl w:val="2"/>
          <w:numId w:val="8"/>
        </w:numPr>
        <w:spacing w:line="360" w:lineRule="auto"/>
      </w:pPr>
      <w:r>
        <w:t xml:space="preserve">If the board reasonably believes the matter may provide a ground for suspension or cancellation of registrants registration – must refer to the tribunal (ss 126; 134) </w:t>
      </w:r>
    </w:p>
    <w:p w:rsidR="00DC2D89" w:rsidRDefault="00DC2D89" w:rsidP="00DC2D89">
      <w:pPr>
        <w:pStyle w:val="ListParagraph"/>
        <w:numPr>
          <w:ilvl w:val="2"/>
          <w:numId w:val="8"/>
        </w:numPr>
        <w:spacing w:line="360" w:lineRule="auto"/>
      </w:pPr>
      <w:r>
        <w:t xml:space="preserve">An adverse decision must be recorded on the register (s 170) </w:t>
      </w:r>
    </w:p>
    <w:p w:rsidR="000A2821" w:rsidRDefault="000A2821" w:rsidP="000A2821">
      <w:pPr>
        <w:pStyle w:val="ListParagraph"/>
        <w:numPr>
          <w:ilvl w:val="3"/>
          <w:numId w:val="8"/>
        </w:numPr>
        <w:spacing w:line="360" w:lineRule="auto"/>
      </w:pPr>
      <w:r>
        <w:t>If there is an undertaking between the board and the registrant then it must remain in the register for the period decided by the board/disciplinary committee  s170</w:t>
      </w:r>
    </w:p>
    <w:p w:rsidR="001342ED" w:rsidRDefault="001342ED" w:rsidP="001342ED">
      <w:pPr>
        <w:pStyle w:val="ListParagraph"/>
        <w:numPr>
          <w:ilvl w:val="2"/>
          <w:numId w:val="8"/>
        </w:numPr>
        <w:spacing w:line="360" w:lineRule="auto"/>
      </w:pPr>
      <w:r>
        <w:t xml:space="preserve">NOTE: they can immediately suspend in SOME limited circumstances </w:t>
      </w:r>
    </w:p>
    <w:p w:rsidR="00B75202" w:rsidRDefault="00B75202" w:rsidP="00B75202">
      <w:pPr>
        <w:pStyle w:val="ListParagraph"/>
        <w:spacing w:line="360" w:lineRule="auto"/>
        <w:ind w:left="1080"/>
      </w:pPr>
    </w:p>
    <w:p w:rsidR="00B75202" w:rsidRPr="000A2821" w:rsidRDefault="00B75202" w:rsidP="00B75202">
      <w:pPr>
        <w:pStyle w:val="ListParagraph"/>
        <w:numPr>
          <w:ilvl w:val="0"/>
          <w:numId w:val="8"/>
        </w:numPr>
        <w:spacing w:line="360" w:lineRule="auto"/>
      </w:pPr>
      <w:r>
        <w:rPr>
          <w:b/>
        </w:rPr>
        <w:t xml:space="preserve">WHAT DECISIONS CAN BE APPEALED </w:t>
      </w:r>
    </w:p>
    <w:p w:rsidR="00B75202" w:rsidRPr="00BB03A9" w:rsidRDefault="00B75202" w:rsidP="00B75202">
      <w:pPr>
        <w:numPr>
          <w:ilvl w:val="0"/>
          <w:numId w:val="18"/>
        </w:numPr>
        <w:autoSpaceDE w:val="0"/>
        <w:autoSpaceDN w:val="0"/>
        <w:adjustRightInd w:val="0"/>
        <w:rPr>
          <w:rFonts w:eastAsia="Calibri"/>
          <w:lang w:val="en-US"/>
        </w:rPr>
      </w:pPr>
      <w:r w:rsidRPr="00681FA2">
        <w:rPr>
          <w:rFonts w:eastAsia="Calibri"/>
          <w:b/>
          <w:lang w:val="en-US"/>
        </w:rPr>
        <w:t>a decision under s 59(2) to suspend, or impose conditions on, a registrant’s registration</w:t>
      </w:r>
      <w:r>
        <w:rPr>
          <w:rFonts w:eastAsia="Calibri"/>
          <w:lang w:val="en-US"/>
        </w:rPr>
        <w:t>;</w:t>
      </w:r>
    </w:p>
    <w:p w:rsidR="00B75202" w:rsidRPr="00BB03A9" w:rsidRDefault="00B75202" w:rsidP="00B75202">
      <w:pPr>
        <w:numPr>
          <w:ilvl w:val="0"/>
          <w:numId w:val="18"/>
        </w:numPr>
        <w:autoSpaceDE w:val="0"/>
        <w:autoSpaceDN w:val="0"/>
        <w:adjustRightInd w:val="0"/>
        <w:rPr>
          <w:rFonts w:eastAsia="Calibri"/>
          <w:lang w:val="en-US"/>
        </w:rPr>
      </w:pPr>
      <w:r w:rsidRPr="00BB03A9">
        <w:rPr>
          <w:rFonts w:eastAsia="Calibri"/>
          <w:lang w:val="en-US"/>
        </w:rPr>
        <w:t xml:space="preserve">a decision to </w:t>
      </w:r>
      <w:r>
        <w:rPr>
          <w:rFonts w:eastAsia="Calibri"/>
          <w:lang w:val="en-US"/>
        </w:rPr>
        <w:t>under s 298(1) that a registrant is impaired;</w:t>
      </w:r>
    </w:p>
    <w:p w:rsidR="00B75202" w:rsidRDefault="00B75202" w:rsidP="00B75202">
      <w:pPr>
        <w:numPr>
          <w:ilvl w:val="0"/>
          <w:numId w:val="18"/>
        </w:numPr>
        <w:autoSpaceDE w:val="0"/>
        <w:autoSpaceDN w:val="0"/>
        <w:adjustRightInd w:val="0"/>
        <w:rPr>
          <w:rFonts w:eastAsia="Calibri"/>
          <w:lang w:val="en-US"/>
        </w:rPr>
      </w:pPr>
      <w:r w:rsidRPr="00BB03A9">
        <w:rPr>
          <w:rFonts w:eastAsia="Calibri"/>
          <w:lang w:val="en-US"/>
        </w:rPr>
        <w:t>a decision</w:t>
      </w:r>
      <w:r>
        <w:rPr>
          <w:rFonts w:eastAsia="Calibri"/>
          <w:lang w:val="en-US"/>
        </w:rPr>
        <w:t>:</w:t>
      </w:r>
    </w:p>
    <w:p w:rsidR="00B75202" w:rsidRDefault="00B75202" w:rsidP="00B75202">
      <w:pPr>
        <w:numPr>
          <w:ilvl w:val="2"/>
          <w:numId w:val="18"/>
        </w:numPr>
        <w:autoSpaceDE w:val="0"/>
        <w:autoSpaceDN w:val="0"/>
        <w:adjustRightInd w:val="0"/>
        <w:rPr>
          <w:rFonts w:eastAsia="Calibri"/>
          <w:lang w:val="en-US"/>
        </w:rPr>
      </w:pPr>
      <w:r>
        <w:rPr>
          <w:rFonts w:eastAsia="Calibri"/>
          <w:lang w:val="en-US"/>
        </w:rPr>
        <w:t>under s 299(2) to impose conditions on a registrant’s registration or order a registrant to attend for further health assessments; or</w:t>
      </w:r>
    </w:p>
    <w:p w:rsidR="00B75202" w:rsidRDefault="00B75202" w:rsidP="00B75202">
      <w:pPr>
        <w:numPr>
          <w:ilvl w:val="2"/>
          <w:numId w:val="18"/>
        </w:numPr>
        <w:autoSpaceDE w:val="0"/>
        <w:autoSpaceDN w:val="0"/>
        <w:adjustRightInd w:val="0"/>
        <w:rPr>
          <w:rFonts w:eastAsia="Calibri"/>
          <w:lang w:val="en-US"/>
        </w:rPr>
      </w:pPr>
      <w:r>
        <w:rPr>
          <w:rFonts w:eastAsia="Calibri"/>
          <w:lang w:val="en-US"/>
        </w:rPr>
        <w:t>under s 299(4) to record details of conditions or an undertaking in the board’s register; or</w:t>
      </w:r>
    </w:p>
    <w:p w:rsidR="00B75202" w:rsidRPr="00BB03A9" w:rsidRDefault="00B75202" w:rsidP="00B75202">
      <w:pPr>
        <w:numPr>
          <w:ilvl w:val="2"/>
          <w:numId w:val="18"/>
        </w:numPr>
        <w:autoSpaceDE w:val="0"/>
        <w:autoSpaceDN w:val="0"/>
        <w:adjustRightInd w:val="0"/>
        <w:rPr>
          <w:rFonts w:eastAsia="Calibri"/>
          <w:lang w:val="en-US"/>
        </w:rPr>
      </w:pPr>
      <w:r>
        <w:rPr>
          <w:rFonts w:eastAsia="Calibri"/>
          <w:lang w:val="en-US"/>
        </w:rPr>
        <w:t>under s 299(6) about the period after which a registrant may ask for another health assessment;</w:t>
      </w:r>
    </w:p>
    <w:p w:rsidR="00B75202" w:rsidRPr="00BB03A9" w:rsidRDefault="00B75202" w:rsidP="00B75202">
      <w:pPr>
        <w:numPr>
          <w:ilvl w:val="0"/>
          <w:numId w:val="18"/>
        </w:numPr>
        <w:autoSpaceDE w:val="0"/>
        <w:autoSpaceDN w:val="0"/>
        <w:adjustRightInd w:val="0"/>
        <w:rPr>
          <w:rFonts w:eastAsia="Calibri"/>
          <w:lang w:val="en-US"/>
        </w:rPr>
      </w:pPr>
      <w:r>
        <w:rPr>
          <w:rFonts w:eastAsia="Calibri"/>
          <w:lang w:val="en-US"/>
        </w:rPr>
        <w:t>a decision under s 311 to suspend or cancel, or impose conditions on, a registrant’s registration.</w:t>
      </w:r>
    </w:p>
    <w:p w:rsidR="00B75202" w:rsidRPr="00BB03A9" w:rsidRDefault="00B75202" w:rsidP="00B75202">
      <w:pPr>
        <w:autoSpaceDE w:val="0"/>
        <w:autoSpaceDN w:val="0"/>
        <w:adjustRightInd w:val="0"/>
        <w:rPr>
          <w:rFonts w:eastAsia="Calibri"/>
          <w:lang w:val="en-US"/>
        </w:rPr>
      </w:pPr>
    </w:p>
    <w:p w:rsidR="00B75202" w:rsidRPr="00BB03A9" w:rsidRDefault="00B75202" w:rsidP="00B75202">
      <w:pPr>
        <w:autoSpaceDE w:val="0"/>
        <w:autoSpaceDN w:val="0"/>
        <w:adjustRightInd w:val="0"/>
        <w:rPr>
          <w:rFonts w:eastAsia="Calibri"/>
          <w:lang w:val="en-US"/>
        </w:rPr>
      </w:pPr>
      <w:r w:rsidRPr="00BB03A9">
        <w:rPr>
          <w:rFonts w:eastAsia="Calibri"/>
          <w:lang w:val="en-US"/>
        </w:rPr>
        <w:t>The following may appeal to the Health Practitioners Tribunal against an appealable</w:t>
      </w:r>
    </w:p>
    <w:p w:rsidR="00B75202" w:rsidRPr="00BB03A9" w:rsidRDefault="00B75202" w:rsidP="00B75202">
      <w:pPr>
        <w:autoSpaceDE w:val="0"/>
        <w:autoSpaceDN w:val="0"/>
        <w:adjustRightInd w:val="0"/>
        <w:rPr>
          <w:rFonts w:eastAsia="Calibri"/>
          <w:lang w:val="en-US"/>
        </w:rPr>
      </w:pPr>
      <w:r w:rsidRPr="00BB03A9">
        <w:rPr>
          <w:rFonts w:eastAsia="Calibri"/>
          <w:lang w:val="en-US"/>
        </w:rPr>
        <w:t>decision –</w:t>
      </w:r>
      <w:r>
        <w:rPr>
          <w:rFonts w:eastAsia="Calibri"/>
          <w:lang w:val="en-US"/>
        </w:rPr>
        <w:t xml:space="preserve"> </w:t>
      </w:r>
      <w:r w:rsidRPr="00BD49A7">
        <w:rPr>
          <w:rFonts w:eastAsia="Calibri"/>
          <w:b/>
          <w:lang w:val="en-US"/>
        </w:rPr>
        <w:t>s 326</w:t>
      </w:r>
    </w:p>
    <w:p w:rsidR="00B75202" w:rsidRPr="00BB03A9" w:rsidRDefault="00B75202" w:rsidP="00B75202">
      <w:pPr>
        <w:numPr>
          <w:ilvl w:val="0"/>
          <w:numId w:val="19"/>
        </w:numPr>
        <w:autoSpaceDE w:val="0"/>
        <w:autoSpaceDN w:val="0"/>
        <w:adjustRightInd w:val="0"/>
        <w:rPr>
          <w:rFonts w:eastAsia="Calibri"/>
          <w:lang w:val="en-US"/>
        </w:rPr>
      </w:pPr>
      <w:r w:rsidRPr="00BB03A9">
        <w:rPr>
          <w:rFonts w:eastAsia="Calibri"/>
          <w:lang w:val="en-US"/>
        </w:rPr>
        <w:t>the practitioner to whom the appealable decision relates</w:t>
      </w:r>
      <w:r>
        <w:rPr>
          <w:rFonts w:eastAsia="Calibri"/>
          <w:lang w:val="en-US"/>
        </w:rPr>
        <w:t xml:space="preserve">: </w:t>
      </w:r>
    </w:p>
    <w:p w:rsidR="00B75202" w:rsidRPr="00BB03A9" w:rsidRDefault="00B75202" w:rsidP="00B75202">
      <w:pPr>
        <w:numPr>
          <w:ilvl w:val="0"/>
          <w:numId w:val="19"/>
        </w:numPr>
        <w:autoSpaceDE w:val="0"/>
        <w:autoSpaceDN w:val="0"/>
        <w:adjustRightInd w:val="0"/>
        <w:rPr>
          <w:rFonts w:eastAsia="Calibri"/>
          <w:lang w:val="en-US"/>
        </w:rPr>
      </w:pPr>
      <w:r w:rsidRPr="00BB03A9">
        <w:rPr>
          <w:rFonts w:eastAsia="Calibri"/>
          <w:lang w:val="en-US"/>
        </w:rPr>
        <w:t xml:space="preserve">the practitioner’s board, if the appealable decision was made by a panel </w:t>
      </w:r>
    </w:p>
    <w:p w:rsidR="00B75202" w:rsidRDefault="00B75202" w:rsidP="00B75202">
      <w:pPr>
        <w:autoSpaceDE w:val="0"/>
        <w:autoSpaceDN w:val="0"/>
        <w:adjustRightInd w:val="0"/>
        <w:rPr>
          <w:rFonts w:eastAsia="Calibri"/>
          <w:lang w:val="en-US"/>
        </w:rPr>
      </w:pPr>
    </w:p>
    <w:p w:rsidR="00B75202" w:rsidRPr="00BB03A9" w:rsidRDefault="00B75202" w:rsidP="00B75202">
      <w:pPr>
        <w:autoSpaceDE w:val="0"/>
        <w:autoSpaceDN w:val="0"/>
        <w:adjustRightInd w:val="0"/>
        <w:rPr>
          <w:rFonts w:eastAsia="Calibri"/>
          <w:lang w:val="en-US"/>
        </w:rPr>
      </w:pPr>
      <w:r w:rsidRPr="00BB03A9">
        <w:rPr>
          <w:rFonts w:eastAsia="Calibri"/>
          <w:lang w:val="en-US"/>
        </w:rPr>
        <w:t xml:space="preserve">A notice of appeal filed with the registrar starts an appeal </w:t>
      </w:r>
      <w:r w:rsidRPr="00ED0FCF">
        <w:rPr>
          <w:rFonts w:eastAsia="Calibri"/>
          <w:b/>
          <w:lang w:val="en-US"/>
        </w:rPr>
        <w:t>(s.327).</w:t>
      </w:r>
    </w:p>
    <w:p w:rsidR="00B75202" w:rsidRPr="00BB03A9" w:rsidRDefault="00B75202" w:rsidP="00B75202">
      <w:pPr>
        <w:autoSpaceDE w:val="0"/>
        <w:autoSpaceDN w:val="0"/>
        <w:adjustRightInd w:val="0"/>
        <w:rPr>
          <w:rFonts w:eastAsia="Calibri"/>
          <w:lang w:val="en-US"/>
        </w:rPr>
      </w:pPr>
    </w:p>
    <w:p w:rsidR="00B75202" w:rsidRPr="00BB03A9" w:rsidRDefault="00B75202" w:rsidP="00B75202">
      <w:pPr>
        <w:autoSpaceDE w:val="0"/>
        <w:autoSpaceDN w:val="0"/>
        <w:adjustRightInd w:val="0"/>
        <w:rPr>
          <w:rFonts w:eastAsia="Calibri"/>
          <w:lang w:val="en-US"/>
        </w:rPr>
      </w:pPr>
      <w:r w:rsidRPr="00BB03A9">
        <w:rPr>
          <w:rFonts w:eastAsia="Calibri"/>
          <w:lang w:val="en-US"/>
        </w:rPr>
        <w:t>The notice of appeal must be filed within 28 days after the day the appellant receives notice of the appealable decision.</w:t>
      </w:r>
    </w:p>
    <w:p w:rsidR="00B75202" w:rsidRPr="00BB03A9" w:rsidRDefault="00B75202" w:rsidP="00B75202">
      <w:pPr>
        <w:autoSpaceDE w:val="0"/>
        <w:autoSpaceDN w:val="0"/>
        <w:adjustRightInd w:val="0"/>
        <w:rPr>
          <w:rFonts w:eastAsia="Calibri"/>
          <w:lang w:val="en-US"/>
        </w:rPr>
      </w:pPr>
    </w:p>
    <w:p w:rsidR="00B75202" w:rsidRPr="00BB03A9" w:rsidRDefault="00B75202" w:rsidP="00B75202">
      <w:pPr>
        <w:autoSpaceDE w:val="0"/>
        <w:autoSpaceDN w:val="0"/>
        <w:adjustRightInd w:val="0"/>
        <w:rPr>
          <w:rFonts w:eastAsia="Calibri"/>
          <w:lang w:val="en-US"/>
        </w:rPr>
      </w:pPr>
      <w:r w:rsidRPr="00BB03A9">
        <w:rPr>
          <w:rFonts w:eastAsia="Calibri"/>
          <w:lang w:val="en-US"/>
        </w:rPr>
        <w:t>An appeal is by way of re-hearing on the original evidence. However, the tribunal may give leave to adduce fresh, additional or substituted evidence if the tribunal is satisfied that</w:t>
      </w:r>
    </w:p>
    <w:p w:rsidR="00B75202" w:rsidRPr="00BB03A9" w:rsidRDefault="00B75202" w:rsidP="00B75202">
      <w:pPr>
        <w:numPr>
          <w:ilvl w:val="0"/>
          <w:numId w:val="17"/>
        </w:numPr>
        <w:autoSpaceDE w:val="0"/>
        <w:autoSpaceDN w:val="0"/>
        <w:adjustRightInd w:val="0"/>
        <w:rPr>
          <w:rFonts w:eastAsia="Calibri"/>
          <w:lang w:val="en-US"/>
        </w:rPr>
      </w:pPr>
      <w:r w:rsidRPr="00BB03A9">
        <w:rPr>
          <w:rFonts w:eastAsia="Calibri"/>
          <w:lang w:val="en-US"/>
        </w:rPr>
        <w:t>the party asking to adduce the new evidence did not know, or could not reasonably be expected to have known, of its existence at the time appealable decision was made</w:t>
      </w:r>
    </w:p>
    <w:p w:rsidR="00B75202" w:rsidRPr="00BB03A9" w:rsidRDefault="00B75202" w:rsidP="00B75202">
      <w:pPr>
        <w:numPr>
          <w:ilvl w:val="0"/>
          <w:numId w:val="17"/>
        </w:numPr>
        <w:autoSpaceDE w:val="0"/>
        <w:autoSpaceDN w:val="0"/>
        <w:adjustRightInd w:val="0"/>
        <w:rPr>
          <w:rFonts w:eastAsia="Calibri"/>
          <w:lang w:val="en-US"/>
        </w:rPr>
      </w:pPr>
      <w:r w:rsidRPr="00BB03A9">
        <w:rPr>
          <w:rFonts w:eastAsia="Calibri"/>
          <w:lang w:val="en-US"/>
        </w:rPr>
        <w:t xml:space="preserve">in the special circumstances of the case it would be unfair not to allow the party to adduce the new evidence </w:t>
      </w:r>
      <w:r w:rsidRPr="00ED0FCF">
        <w:rPr>
          <w:rFonts w:eastAsia="Calibri"/>
          <w:b/>
          <w:lang w:val="en-US"/>
        </w:rPr>
        <w:t>(s.331)</w:t>
      </w:r>
    </w:p>
    <w:p w:rsidR="0012194C" w:rsidRDefault="0012194C" w:rsidP="0012194C">
      <w:pPr>
        <w:pStyle w:val="ListParagraph"/>
        <w:spacing w:line="360" w:lineRule="auto"/>
        <w:ind w:left="1440"/>
      </w:pPr>
    </w:p>
    <w:p w:rsidR="005538F5" w:rsidRDefault="005538F5" w:rsidP="00F253B4">
      <w:pPr>
        <w:pStyle w:val="Heading2aa"/>
        <w:numPr>
          <w:ilvl w:val="0"/>
          <w:numId w:val="8"/>
        </w:numPr>
        <w:shd w:val="clear" w:color="auto" w:fill="D9D9D9" w:themeFill="background1" w:themeFillShade="D9"/>
        <w:spacing w:line="360" w:lineRule="auto"/>
      </w:pPr>
      <w:r>
        <w:t>Professional Conduct Review Panels</w:t>
      </w:r>
    </w:p>
    <w:p w:rsidR="005538F5" w:rsidRDefault="005538F5" w:rsidP="00F253B4">
      <w:pPr>
        <w:spacing w:line="360" w:lineRule="auto"/>
      </w:pPr>
    </w:p>
    <w:p w:rsidR="00C77871" w:rsidRDefault="005538F5" w:rsidP="00F253B4">
      <w:pPr>
        <w:pStyle w:val="ListParagraph"/>
        <w:numPr>
          <w:ilvl w:val="1"/>
          <w:numId w:val="8"/>
        </w:numPr>
        <w:spacing w:line="360" w:lineRule="auto"/>
      </w:pPr>
      <w:r>
        <w:t xml:space="preserve">A professional board may refer a disciplinary matter for hearing by a Professional Conduct Review Panels (s126) which are established under section 15 HPPSA. </w:t>
      </w:r>
    </w:p>
    <w:p w:rsidR="005538F5" w:rsidRDefault="005538F5" w:rsidP="00F253B4">
      <w:pPr>
        <w:pStyle w:val="ListParagraph"/>
        <w:numPr>
          <w:ilvl w:val="1"/>
          <w:numId w:val="8"/>
        </w:numPr>
        <w:spacing w:line="360" w:lineRule="auto"/>
      </w:pPr>
      <w:r>
        <w:lastRenderedPageBreak/>
        <w:t xml:space="preserve"> Panels have the same disciplinary powers as the professional boards however they may also impose conditions and restrictions on a registrant’s registration however they may not suspend or cancel that registration.</w:t>
      </w:r>
    </w:p>
    <w:p w:rsidR="00C77871" w:rsidRDefault="005538F5" w:rsidP="00F253B4">
      <w:pPr>
        <w:pStyle w:val="ListParagraph"/>
        <w:numPr>
          <w:ilvl w:val="1"/>
          <w:numId w:val="8"/>
        </w:numPr>
        <w:spacing w:line="360" w:lineRule="auto"/>
      </w:pPr>
      <w:r w:rsidRPr="00B75BB8">
        <w:t>A panel is comprised of a minimum of thre</w:t>
      </w:r>
      <w:r w:rsidR="00C77871">
        <w:t>e and a maximum of four members</w:t>
      </w:r>
      <w:r w:rsidR="00C77871" w:rsidRPr="00C77871">
        <w:t xml:space="preserve"> </w:t>
      </w:r>
      <w:r w:rsidR="00C77871">
        <w:t>(s17).</w:t>
      </w:r>
    </w:p>
    <w:p w:rsidR="00C77871" w:rsidRDefault="005538F5" w:rsidP="00C77871">
      <w:pPr>
        <w:pStyle w:val="ListParagraph"/>
        <w:numPr>
          <w:ilvl w:val="2"/>
          <w:numId w:val="8"/>
        </w:numPr>
        <w:spacing w:line="360" w:lineRule="auto"/>
      </w:pPr>
      <w:r w:rsidRPr="00B75BB8">
        <w:t xml:space="preserve"> At least two of the members must be medical practitioners, and one must be a public member.</w:t>
      </w:r>
    </w:p>
    <w:p w:rsidR="005538F5" w:rsidRDefault="005538F5" w:rsidP="00C77871">
      <w:pPr>
        <w:pStyle w:val="ListParagraph"/>
        <w:numPr>
          <w:ilvl w:val="2"/>
          <w:numId w:val="8"/>
        </w:numPr>
        <w:spacing w:line="360" w:lineRule="auto"/>
      </w:pPr>
      <w:r w:rsidRPr="00B75BB8">
        <w:t xml:space="preserve"> A panel may also include </w:t>
      </w:r>
      <w:r>
        <w:t xml:space="preserve">one member of the Medical Board </w:t>
      </w:r>
    </w:p>
    <w:p w:rsidR="00493DB8" w:rsidRDefault="00493DB8" w:rsidP="00493DB8">
      <w:pPr>
        <w:pStyle w:val="ListParagraph"/>
        <w:numPr>
          <w:ilvl w:val="1"/>
          <w:numId w:val="8"/>
        </w:numPr>
        <w:spacing w:line="360" w:lineRule="auto"/>
      </w:pPr>
      <w:r>
        <w:t>The hearing can be attended by</w:t>
      </w:r>
    </w:p>
    <w:p w:rsidR="00493DB8" w:rsidRDefault="00493DB8" w:rsidP="00493DB8">
      <w:pPr>
        <w:pStyle w:val="ListParagraph"/>
        <w:numPr>
          <w:ilvl w:val="2"/>
          <w:numId w:val="8"/>
        </w:numPr>
        <w:spacing w:line="360" w:lineRule="auto"/>
      </w:pPr>
      <w:r>
        <w:t>The registrant</w:t>
      </w:r>
    </w:p>
    <w:p w:rsidR="00493DB8" w:rsidRDefault="00493DB8" w:rsidP="00493DB8">
      <w:pPr>
        <w:pStyle w:val="ListParagraph"/>
        <w:numPr>
          <w:ilvl w:val="2"/>
          <w:numId w:val="8"/>
        </w:numPr>
        <w:spacing w:line="360" w:lineRule="auto"/>
      </w:pPr>
      <w:r>
        <w:t>The registrants board</w:t>
      </w:r>
    </w:p>
    <w:p w:rsidR="00493DB8" w:rsidRDefault="00493DB8" w:rsidP="00493DB8">
      <w:pPr>
        <w:pStyle w:val="ListParagraph"/>
        <w:numPr>
          <w:ilvl w:val="2"/>
          <w:numId w:val="8"/>
        </w:numPr>
        <w:spacing w:line="360" w:lineRule="auto"/>
      </w:pPr>
      <w:r>
        <w:t xml:space="preserve">The commission (only if the commission intervenes under s173) </w:t>
      </w:r>
    </w:p>
    <w:p w:rsidR="00493DB8" w:rsidRDefault="00493DB8" w:rsidP="00493DB8">
      <w:pPr>
        <w:pStyle w:val="ListParagraph"/>
        <w:numPr>
          <w:ilvl w:val="2"/>
          <w:numId w:val="8"/>
        </w:numPr>
        <w:spacing w:line="360" w:lineRule="auto"/>
      </w:pPr>
      <w:r>
        <w:t>Can gie any person notice s195</w:t>
      </w:r>
    </w:p>
    <w:p w:rsidR="00493DB8" w:rsidRDefault="00493DB8" w:rsidP="00493DB8">
      <w:pPr>
        <w:pStyle w:val="ListParagraph"/>
        <w:numPr>
          <w:ilvl w:val="3"/>
          <w:numId w:val="8"/>
        </w:numPr>
        <w:spacing w:line="360" w:lineRule="auto"/>
      </w:pPr>
      <w:r>
        <w:t>A failure to attend when given notice results in a maximum penalty of 60 PU’s</w:t>
      </w:r>
    </w:p>
    <w:p w:rsidR="00C77871" w:rsidRDefault="00C77871" w:rsidP="00F253B4">
      <w:pPr>
        <w:pStyle w:val="ListParagraph"/>
        <w:numPr>
          <w:ilvl w:val="1"/>
          <w:numId w:val="8"/>
        </w:numPr>
        <w:spacing w:line="360" w:lineRule="auto"/>
      </w:pPr>
      <w:r>
        <w:rPr>
          <w:b/>
        </w:rPr>
        <w:t xml:space="preserve">Disciplinary powers s201 </w:t>
      </w:r>
    </w:p>
    <w:p w:rsidR="00C77871" w:rsidRDefault="005538F5" w:rsidP="00C77871">
      <w:pPr>
        <w:pStyle w:val="ListParagraph"/>
        <w:numPr>
          <w:ilvl w:val="2"/>
          <w:numId w:val="8"/>
        </w:numPr>
        <w:spacing w:line="360" w:lineRule="auto"/>
      </w:pPr>
      <w:r>
        <w:t xml:space="preserve">Under s201 HPPSA the panel may </w:t>
      </w:r>
      <w:r w:rsidRPr="00A07B80">
        <w:t>advise, caution, reprimand, approve undertaking to be entered into with relevant Board or impose conditions (e.g. requiring educational courses, requiring supervision)</w:t>
      </w:r>
    </w:p>
    <w:p w:rsidR="002F7143" w:rsidRDefault="002F7143" w:rsidP="002F7143">
      <w:pPr>
        <w:pStyle w:val="ListParagraph"/>
        <w:numPr>
          <w:ilvl w:val="3"/>
          <w:numId w:val="8"/>
        </w:numPr>
        <w:spacing w:line="360" w:lineRule="auto"/>
      </w:pPr>
      <w:r>
        <w:t xml:space="preserve">Can also hold hearings but not open to the public </w:t>
      </w:r>
    </w:p>
    <w:p w:rsidR="00B75202" w:rsidRDefault="00B75202" w:rsidP="00B75202">
      <w:pPr>
        <w:pStyle w:val="ListParagraph"/>
        <w:numPr>
          <w:ilvl w:val="2"/>
          <w:numId w:val="8"/>
        </w:numPr>
        <w:spacing w:line="360" w:lineRule="auto"/>
      </w:pPr>
      <w:r>
        <w:t xml:space="preserve">Under s190 the panel can issue an interim order if they need to adjourn the proceedings and it is considered that such and order would protect the public </w:t>
      </w:r>
    </w:p>
    <w:p w:rsidR="005538F5" w:rsidRDefault="00C77871" w:rsidP="00C77871">
      <w:pPr>
        <w:pStyle w:val="ListParagraph"/>
        <w:numPr>
          <w:ilvl w:val="2"/>
          <w:numId w:val="8"/>
        </w:numPr>
        <w:spacing w:line="360" w:lineRule="auto"/>
      </w:pPr>
      <w:r>
        <w:t xml:space="preserve">Can refer matters to the tribunal (ss 126; 178) </w:t>
      </w:r>
      <w:r w:rsidR="005538F5">
        <w:t xml:space="preserve"> </w:t>
      </w:r>
    </w:p>
    <w:p w:rsidR="00B75202" w:rsidRDefault="00B75202" w:rsidP="00B75202">
      <w:pPr>
        <w:pStyle w:val="ListParagraph"/>
        <w:spacing w:line="360" w:lineRule="auto"/>
        <w:ind w:left="1080"/>
      </w:pPr>
    </w:p>
    <w:p w:rsidR="00B75202" w:rsidRDefault="00B75202" w:rsidP="00B75202">
      <w:pPr>
        <w:pStyle w:val="ListParagraph"/>
        <w:numPr>
          <w:ilvl w:val="0"/>
          <w:numId w:val="8"/>
        </w:numPr>
        <w:spacing w:line="360" w:lineRule="auto"/>
      </w:pPr>
      <w:r>
        <w:rPr>
          <w:b/>
        </w:rPr>
        <w:t xml:space="preserve">WHAT DECISIONS CAN BE APPEALED </w:t>
      </w:r>
    </w:p>
    <w:p w:rsidR="00B75202" w:rsidRPr="00BB03A9" w:rsidRDefault="00B75202" w:rsidP="00B75202">
      <w:pPr>
        <w:autoSpaceDE w:val="0"/>
        <w:autoSpaceDN w:val="0"/>
        <w:adjustRightInd w:val="0"/>
        <w:rPr>
          <w:rFonts w:eastAsia="Calibri"/>
          <w:lang w:val="en-US"/>
        </w:rPr>
      </w:pPr>
      <w:r w:rsidRPr="00BB03A9">
        <w:rPr>
          <w:rFonts w:eastAsia="Calibri"/>
          <w:lang w:val="en-US"/>
        </w:rPr>
        <w:t>The following decisions of a panel are appealable decisions</w:t>
      </w:r>
      <w:r w:rsidRPr="00BB03A9">
        <w:rPr>
          <w:rFonts w:eastAsia="Calibri"/>
          <w:b/>
          <w:lang w:val="en-US"/>
        </w:rPr>
        <w:t xml:space="preserve"> (s.325</w:t>
      </w:r>
      <w:r>
        <w:rPr>
          <w:rFonts w:eastAsia="Calibri"/>
          <w:b/>
          <w:lang w:val="en-US"/>
        </w:rPr>
        <w:t>(2)</w:t>
      </w:r>
      <w:r w:rsidRPr="00BB03A9">
        <w:rPr>
          <w:rFonts w:eastAsia="Calibri"/>
          <w:b/>
          <w:lang w:val="en-US"/>
        </w:rPr>
        <w:t>)</w:t>
      </w:r>
      <w:r w:rsidRPr="00BB03A9">
        <w:rPr>
          <w:rFonts w:eastAsia="Calibri"/>
          <w:lang w:val="en-US"/>
        </w:rPr>
        <w:t xml:space="preserve"> –</w:t>
      </w:r>
    </w:p>
    <w:p w:rsidR="00B75202" w:rsidRPr="00BB03A9" w:rsidRDefault="00B75202" w:rsidP="00B75202">
      <w:pPr>
        <w:numPr>
          <w:ilvl w:val="0"/>
          <w:numId w:val="18"/>
        </w:numPr>
        <w:autoSpaceDE w:val="0"/>
        <w:autoSpaceDN w:val="0"/>
        <w:adjustRightInd w:val="0"/>
        <w:rPr>
          <w:rFonts w:eastAsia="Calibri"/>
          <w:lang w:val="en-US"/>
        </w:rPr>
      </w:pPr>
      <w:r w:rsidRPr="00BB03A9">
        <w:rPr>
          <w:rFonts w:eastAsia="Calibri"/>
          <w:lang w:val="en-US"/>
        </w:rPr>
        <w:t xml:space="preserve">a decision about whether a ground for disciplinary action against a practitioner is established (under </w:t>
      </w:r>
      <w:r w:rsidRPr="00ED0FCF">
        <w:rPr>
          <w:rFonts w:eastAsia="Calibri"/>
          <w:b/>
          <w:lang w:val="en-US"/>
        </w:rPr>
        <w:t>s.200(1)</w:t>
      </w:r>
      <w:r w:rsidRPr="00BB03A9">
        <w:rPr>
          <w:rFonts w:eastAsia="Calibri"/>
          <w:lang w:val="en-US"/>
        </w:rPr>
        <w:t>)</w:t>
      </w:r>
    </w:p>
    <w:p w:rsidR="00B75202" w:rsidRPr="00BB03A9" w:rsidRDefault="00B75202" w:rsidP="00B75202">
      <w:pPr>
        <w:numPr>
          <w:ilvl w:val="0"/>
          <w:numId w:val="18"/>
        </w:numPr>
        <w:autoSpaceDE w:val="0"/>
        <w:autoSpaceDN w:val="0"/>
        <w:adjustRightInd w:val="0"/>
        <w:rPr>
          <w:rFonts w:eastAsia="Calibri"/>
          <w:lang w:val="en-US"/>
        </w:rPr>
      </w:pPr>
      <w:r w:rsidRPr="00BB03A9">
        <w:rPr>
          <w:rFonts w:eastAsia="Calibri"/>
          <w:lang w:val="en-US"/>
        </w:rPr>
        <w:t xml:space="preserve">a decision to take disciplinary action against a practitioner (under </w:t>
      </w:r>
      <w:r w:rsidRPr="00ED0FCF">
        <w:rPr>
          <w:rFonts w:eastAsia="Calibri"/>
          <w:b/>
          <w:lang w:val="en-US"/>
        </w:rPr>
        <w:t>s.201(2)</w:t>
      </w:r>
      <w:r w:rsidRPr="00BB03A9">
        <w:rPr>
          <w:rFonts w:eastAsia="Calibri"/>
          <w:lang w:val="en-US"/>
        </w:rPr>
        <w:t xml:space="preserve"> or </w:t>
      </w:r>
      <w:r w:rsidRPr="00ED0FCF">
        <w:rPr>
          <w:rFonts w:eastAsia="Calibri"/>
          <w:b/>
          <w:lang w:val="en-US"/>
        </w:rPr>
        <w:t>s.203(2)(b)</w:t>
      </w:r>
      <w:r w:rsidRPr="00BB03A9">
        <w:rPr>
          <w:rFonts w:eastAsia="Calibri"/>
          <w:lang w:val="en-US"/>
        </w:rPr>
        <w:t>)</w:t>
      </w:r>
    </w:p>
    <w:p w:rsidR="00B75202" w:rsidRPr="00BB03A9" w:rsidRDefault="00B75202" w:rsidP="00B75202">
      <w:pPr>
        <w:numPr>
          <w:ilvl w:val="0"/>
          <w:numId w:val="18"/>
        </w:numPr>
        <w:autoSpaceDE w:val="0"/>
        <w:autoSpaceDN w:val="0"/>
        <w:adjustRightInd w:val="0"/>
        <w:rPr>
          <w:rFonts w:eastAsia="Calibri"/>
          <w:lang w:val="en-US"/>
        </w:rPr>
      </w:pPr>
      <w:r w:rsidRPr="00BB03A9">
        <w:rPr>
          <w:rFonts w:eastAsia="Calibri"/>
          <w:lang w:val="en-US"/>
        </w:rPr>
        <w:t xml:space="preserve">a decision about the period within which a practitioner may not apply for a review of a decision (under </w:t>
      </w:r>
      <w:r w:rsidRPr="00ED0FCF">
        <w:rPr>
          <w:rFonts w:eastAsia="Calibri"/>
          <w:b/>
          <w:lang w:val="en-US"/>
        </w:rPr>
        <w:t>s.201(3)</w:t>
      </w:r>
      <w:r w:rsidRPr="00BB03A9">
        <w:rPr>
          <w:rFonts w:eastAsia="Calibri"/>
          <w:lang w:val="en-US"/>
        </w:rPr>
        <w:t xml:space="preserve"> or </w:t>
      </w:r>
      <w:r w:rsidRPr="00ED0FCF">
        <w:rPr>
          <w:rFonts w:eastAsia="Calibri"/>
          <w:b/>
          <w:lang w:val="en-US"/>
        </w:rPr>
        <w:t>s.324(3)</w:t>
      </w:r>
      <w:r w:rsidRPr="00BB03A9">
        <w:rPr>
          <w:rFonts w:eastAsia="Calibri"/>
          <w:lang w:val="en-US"/>
        </w:rPr>
        <w:t>)</w:t>
      </w:r>
    </w:p>
    <w:p w:rsidR="00B75202" w:rsidRPr="00BB03A9" w:rsidRDefault="00B75202" w:rsidP="00B75202">
      <w:pPr>
        <w:numPr>
          <w:ilvl w:val="0"/>
          <w:numId w:val="18"/>
        </w:numPr>
        <w:autoSpaceDE w:val="0"/>
        <w:autoSpaceDN w:val="0"/>
        <w:adjustRightInd w:val="0"/>
        <w:rPr>
          <w:rFonts w:eastAsia="Calibri"/>
          <w:lang w:val="en-US"/>
        </w:rPr>
      </w:pPr>
      <w:r w:rsidRPr="00BB03A9">
        <w:rPr>
          <w:rFonts w:eastAsia="Calibri"/>
          <w:lang w:val="en-US"/>
        </w:rPr>
        <w:t xml:space="preserve">a decision to record that a practitioner has been given advice, a caution or reprimand and the period for which it is to be recorded or to record details of conditions or an undertaking (under </w:t>
      </w:r>
      <w:r w:rsidRPr="00ED0FCF">
        <w:rPr>
          <w:rFonts w:eastAsia="Calibri"/>
          <w:b/>
          <w:lang w:val="en-US"/>
        </w:rPr>
        <w:t>s.202(1)</w:t>
      </w:r>
      <w:r w:rsidRPr="00ED0FCF">
        <w:rPr>
          <w:rFonts w:eastAsia="Calibri"/>
          <w:lang w:val="en-US"/>
        </w:rPr>
        <w:t>)</w:t>
      </w:r>
    </w:p>
    <w:p w:rsidR="00B75202" w:rsidRPr="00BB03A9" w:rsidRDefault="00B75202" w:rsidP="00B75202">
      <w:pPr>
        <w:numPr>
          <w:ilvl w:val="0"/>
          <w:numId w:val="18"/>
        </w:numPr>
        <w:autoSpaceDE w:val="0"/>
        <w:autoSpaceDN w:val="0"/>
        <w:adjustRightInd w:val="0"/>
        <w:rPr>
          <w:rFonts w:eastAsia="Calibri"/>
          <w:lang w:val="en-US"/>
        </w:rPr>
      </w:pPr>
      <w:r w:rsidRPr="00BB03A9">
        <w:rPr>
          <w:rFonts w:eastAsia="Calibri"/>
          <w:lang w:val="en-US"/>
        </w:rPr>
        <w:t xml:space="preserve">a decision under </w:t>
      </w:r>
      <w:r w:rsidRPr="00ED0FCF">
        <w:rPr>
          <w:rFonts w:eastAsia="Calibri"/>
          <w:b/>
          <w:lang w:val="en-US"/>
        </w:rPr>
        <w:t>s.324</w:t>
      </w:r>
      <w:r w:rsidRPr="00BB03A9">
        <w:rPr>
          <w:rFonts w:eastAsia="Calibri"/>
          <w:lang w:val="en-US"/>
        </w:rPr>
        <w:t xml:space="preserve"> to confirm, remove or change conditions or remove conditions and replace the conditions with another action a panel may take under </w:t>
      </w:r>
      <w:r w:rsidRPr="00ED0FCF">
        <w:rPr>
          <w:rFonts w:eastAsia="Calibri"/>
          <w:b/>
          <w:lang w:val="en-US"/>
        </w:rPr>
        <w:t>s.201(2)</w:t>
      </w:r>
    </w:p>
    <w:p w:rsidR="00B75202" w:rsidRPr="00BB03A9" w:rsidRDefault="00B75202" w:rsidP="00B75202">
      <w:pPr>
        <w:autoSpaceDE w:val="0"/>
        <w:autoSpaceDN w:val="0"/>
        <w:adjustRightInd w:val="0"/>
        <w:rPr>
          <w:rFonts w:eastAsia="Calibri"/>
          <w:lang w:val="en-US"/>
        </w:rPr>
      </w:pPr>
    </w:p>
    <w:p w:rsidR="00B75202" w:rsidRPr="00BB03A9" w:rsidRDefault="00B75202" w:rsidP="00B75202">
      <w:pPr>
        <w:autoSpaceDE w:val="0"/>
        <w:autoSpaceDN w:val="0"/>
        <w:adjustRightInd w:val="0"/>
        <w:rPr>
          <w:rFonts w:eastAsia="Calibri"/>
          <w:lang w:val="en-US"/>
        </w:rPr>
      </w:pPr>
      <w:r w:rsidRPr="00BB03A9">
        <w:rPr>
          <w:rFonts w:eastAsia="Calibri"/>
          <w:lang w:val="en-US"/>
        </w:rPr>
        <w:t>The following may appeal to the Health Practitioners Tribunal against an appealable</w:t>
      </w:r>
    </w:p>
    <w:p w:rsidR="00B75202" w:rsidRPr="00BB03A9" w:rsidRDefault="00B75202" w:rsidP="00B75202">
      <w:pPr>
        <w:autoSpaceDE w:val="0"/>
        <w:autoSpaceDN w:val="0"/>
        <w:adjustRightInd w:val="0"/>
        <w:rPr>
          <w:rFonts w:eastAsia="Calibri"/>
          <w:lang w:val="en-US"/>
        </w:rPr>
      </w:pPr>
      <w:r w:rsidRPr="00BB03A9">
        <w:rPr>
          <w:rFonts w:eastAsia="Calibri"/>
          <w:lang w:val="en-US"/>
        </w:rPr>
        <w:t>decision –</w:t>
      </w:r>
      <w:r>
        <w:rPr>
          <w:rFonts w:eastAsia="Calibri"/>
          <w:lang w:val="en-US"/>
        </w:rPr>
        <w:t xml:space="preserve"> </w:t>
      </w:r>
      <w:r w:rsidRPr="00BD49A7">
        <w:rPr>
          <w:rFonts w:eastAsia="Calibri"/>
          <w:b/>
          <w:lang w:val="en-US"/>
        </w:rPr>
        <w:t>s 326</w:t>
      </w:r>
    </w:p>
    <w:p w:rsidR="00B75202" w:rsidRPr="00BB03A9" w:rsidRDefault="00B75202" w:rsidP="00B75202">
      <w:pPr>
        <w:numPr>
          <w:ilvl w:val="0"/>
          <w:numId w:val="19"/>
        </w:numPr>
        <w:autoSpaceDE w:val="0"/>
        <w:autoSpaceDN w:val="0"/>
        <w:adjustRightInd w:val="0"/>
        <w:rPr>
          <w:rFonts w:eastAsia="Calibri"/>
          <w:lang w:val="en-US"/>
        </w:rPr>
      </w:pPr>
      <w:r w:rsidRPr="00BB03A9">
        <w:rPr>
          <w:rFonts w:eastAsia="Calibri"/>
          <w:lang w:val="en-US"/>
        </w:rPr>
        <w:t>the practitioner to whom the appealable decision relates</w:t>
      </w:r>
      <w:r>
        <w:rPr>
          <w:rFonts w:eastAsia="Calibri"/>
          <w:lang w:val="en-US"/>
        </w:rPr>
        <w:t xml:space="preserve">: </w:t>
      </w:r>
    </w:p>
    <w:p w:rsidR="00B75202" w:rsidRPr="00BB03A9" w:rsidRDefault="00B75202" w:rsidP="00B75202">
      <w:pPr>
        <w:numPr>
          <w:ilvl w:val="0"/>
          <w:numId w:val="19"/>
        </w:numPr>
        <w:autoSpaceDE w:val="0"/>
        <w:autoSpaceDN w:val="0"/>
        <w:adjustRightInd w:val="0"/>
        <w:rPr>
          <w:rFonts w:eastAsia="Calibri"/>
          <w:lang w:val="en-US"/>
        </w:rPr>
      </w:pPr>
      <w:r w:rsidRPr="00BB03A9">
        <w:rPr>
          <w:rFonts w:eastAsia="Calibri"/>
          <w:lang w:val="en-US"/>
        </w:rPr>
        <w:t xml:space="preserve">the practitioner’s board, if the appealable decision was made by a panel </w:t>
      </w:r>
    </w:p>
    <w:p w:rsidR="00B75202" w:rsidRDefault="00B75202" w:rsidP="00B75202">
      <w:pPr>
        <w:autoSpaceDE w:val="0"/>
        <w:autoSpaceDN w:val="0"/>
        <w:adjustRightInd w:val="0"/>
        <w:rPr>
          <w:rFonts w:eastAsia="Calibri"/>
          <w:lang w:val="en-US"/>
        </w:rPr>
      </w:pPr>
    </w:p>
    <w:p w:rsidR="00B75202" w:rsidRPr="00BB03A9" w:rsidRDefault="00B75202" w:rsidP="00B75202">
      <w:pPr>
        <w:autoSpaceDE w:val="0"/>
        <w:autoSpaceDN w:val="0"/>
        <w:adjustRightInd w:val="0"/>
        <w:rPr>
          <w:rFonts w:eastAsia="Calibri"/>
          <w:lang w:val="en-US"/>
        </w:rPr>
      </w:pPr>
      <w:r w:rsidRPr="00BB03A9">
        <w:rPr>
          <w:rFonts w:eastAsia="Calibri"/>
          <w:lang w:val="en-US"/>
        </w:rPr>
        <w:t xml:space="preserve">A notice of appeal filed with the registrar starts an appeal </w:t>
      </w:r>
      <w:r w:rsidRPr="00ED0FCF">
        <w:rPr>
          <w:rFonts w:eastAsia="Calibri"/>
          <w:b/>
          <w:lang w:val="en-US"/>
        </w:rPr>
        <w:t>(s.327).</w:t>
      </w:r>
    </w:p>
    <w:p w:rsidR="00B75202" w:rsidRPr="00BB03A9" w:rsidRDefault="00B75202" w:rsidP="00B75202">
      <w:pPr>
        <w:autoSpaceDE w:val="0"/>
        <w:autoSpaceDN w:val="0"/>
        <w:adjustRightInd w:val="0"/>
        <w:rPr>
          <w:rFonts w:eastAsia="Calibri"/>
          <w:lang w:val="en-US"/>
        </w:rPr>
      </w:pPr>
    </w:p>
    <w:p w:rsidR="00B75202" w:rsidRPr="00BB03A9" w:rsidRDefault="00B75202" w:rsidP="00B75202">
      <w:pPr>
        <w:autoSpaceDE w:val="0"/>
        <w:autoSpaceDN w:val="0"/>
        <w:adjustRightInd w:val="0"/>
        <w:rPr>
          <w:rFonts w:eastAsia="Calibri"/>
          <w:lang w:val="en-US"/>
        </w:rPr>
      </w:pPr>
      <w:r w:rsidRPr="00BB03A9">
        <w:rPr>
          <w:rFonts w:eastAsia="Calibri"/>
          <w:lang w:val="en-US"/>
        </w:rPr>
        <w:t>The notice of appeal must be filed within 28 days after the day the appellant receives notice of the appealable decision.</w:t>
      </w:r>
    </w:p>
    <w:p w:rsidR="00B75202" w:rsidRPr="00BB03A9" w:rsidRDefault="00B75202" w:rsidP="00B75202">
      <w:pPr>
        <w:autoSpaceDE w:val="0"/>
        <w:autoSpaceDN w:val="0"/>
        <w:adjustRightInd w:val="0"/>
        <w:rPr>
          <w:rFonts w:eastAsia="Calibri"/>
          <w:lang w:val="en-US"/>
        </w:rPr>
      </w:pPr>
    </w:p>
    <w:p w:rsidR="00B75202" w:rsidRPr="00BB03A9" w:rsidRDefault="00B75202" w:rsidP="00B75202">
      <w:pPr>
        <w:autoSpaceDE w:val="0"/>
        <w:autoSpaceDN w:val="0"/>
        <w:adjustRightInd w:val="0"/>
        <w:rPr>
          <w:rFonts w:eastAsia="Calibri"/>
          <w:lang w:val="en-US"/>
        </w:rPr>
      </w:pPr>
      <w:r w:rsidRPr="00BB03A9">
        <w:rPr>
          <w:rFonts w:eastAsia="Calibri"/>
          <w:lang w:val="en-US"/>
        </w:rPr>
        <w:t>An appeal is by way of re-hearing on the original evidence. However, the tribunal may give leave to adduce fresh, additional or substituted evidence if the tribunal is satisfied that</w:t>
      </w:r>
    </w:p>
    <w:p w:rsidR="00B75202" w:rsidRPr="00BB03A9" w:rsidRDefault="00B75202" w:rsidP="00B75202">
      <w:pPr>
        <w:numPr>
          <w:ilvl w:val="0"/>
          <w:numId w:val="17"/>
        </w:numPr>
        <w:autoSpaceDE w:val="0"/>
        <w:autoSpaceDN w:val="0"/>
        <w:adjustRightInd w:val="0"/>
        <w:rPr>
          <w:rFonts w:eastAsia="Calibri"/>
          <w:lang w:val="en-US"/>
        </w:rPr>
      </w:pPr>
      <w:r w:rsidRPr="00BB03A9">
        <w:rPr>
          <w:rFonts w:eastAsia="Calibri"/>
          <w:lang w:val="en-US"/>
        </w:rPr>
        <w:t>the party asking to adduce the new evidence did not know, or could not reasonably be expected to have known, of its existence at the time appealable decision was made</w:t>
      </w:r>
    </w:p>
    <w:p w:rsidR="00B75202" w:rsidRPr="00BB03A9" w:rsidRDefault="00B75202" w:rsidP="00B75202">
      <w:pPr>
        <w:numPr>
          <w:ilvl w:val="0"/>
          <w:numId w:val="17"/>
        </w:numPr>
        <w:autoSpaceDE w:val="0"/>
        <w:autoSpaceDN w:val="0"/>
        <w:adjustRightInd w:val="0"/>
        <w:rPr>
          <w:rFonts w:eastAsia="Calibri"/>
          <w:lang w:val="en-US"/>
        </w:rPr>
      </w:pPr>
      <w:r w:rsidRPr="00BB03A9">
        <w:rPr>
          <w:rFonts w:eastAsia="Calibri"/>
          <w:lang w:val="en-US"/>
        </w:rPr>
        <w:t xml:space="preserve">in the special circumstances of the case it would be unfair not to allow the party to adduce the new evidence </w:t>
      </w:r>
      <w:r w:rsidRPr="00ED0FCF">
        <w:rPr>
          <w:rFonts w:eastAsia="Calibri"/>
          <w:b/>
          <w:lang w:val="en-US"/>
        </w:rPr>
        <w:t>(s.331)</w:t>
      </w:r>
    </w:p>
    <w:p w:rsidR="00B75202" w:rsidRDefault="00B75202" w:rsidP="00F253B4">
      <w:pPr>
        <w:spacing w:line="360" w:lineRule="auto"/>
      </w:pPr>
    </w:p>
    <w:p w:rsidR="005538F5" w:rsidRPr="003A06EA" w:rsidRDefault="005538F5" w:rsidP="00F253B4">
      <w:pPr>
        <w:pStyle w:val="Heading2aa"/>
        <w:numPr>
          <w:ilvl w:val="0"/>
          <w:numId w:val="8"/>
        </w:numPr>
        <w:shd w:val="clear" w:color="auto" w:fill="D9D9D9" w:themeFill="background1" w:themeFillShade="D9"/>
        <w:spacing w:line="360" w:lineRule="auto"/>
      </w:pPr>
      <w:r>
        <w:t>Health Practitioners Tribunal</w:t>
      </w:r>
    </w:p>
    <w:p w:rsidR="005538F5" w:rsidRDefault="00612F61" w:rsidP="00F253B4">
      <w:pPr>
        <w:spacing w:line="360" w:lineRule="auto"/>
      </w:pPr>
      <w:r>
        <w:t xml:space="preserve">** have the widest disciplinary powers – s241 (can suspend and cancel registration) </w:t>
      </w:r>
    </w:p>
    <w:p w:rsidR="00612F61" w:rsidRDefault="00612F61" w:rsidP="00F253B4">
      <w:pPr>
        <w:spacing w:line="360" w:lineRule="auto"/>
      </w:pPr>
    </w:p>
    <w:p w:rsidR="00612F61" w:rsidRDefault="005538F5" w:rsidP="00F253B4">
      <w:pPr>
        <w:pStyle w:val="ListParagraph"/>
        <w:numPr>
          <w:ilvl w:val="1"/>
          <w:numId w:val="8"/>
        </w:numPr>
        <w:spacing w:line="360" w:lineRule="auto"/>
      </w:pPr>
      <w:r>
        <w:t xml:space="preserve">The Health Practitioners Tribunal is </w:t>
      </w:r>
      <w:r w:rsidR="0096484B">
        <w:t>established</w:t>
      </w:r>
      <w:r>
        <w:t xml:space="preserve"> under section 26 HPPSA and deals with the most serious matters of professional misconduct which are referred from the Board or Panel or is elected to hear the matter by the professional.  </w:t>
      </w:r>
    </w:p>
    <w:p w:rsidR="00612F61" w:rsidRDefault="00612F61" w:rsidP="00612F61">
      <w:pPr>
        <w:pStyle w:val="ListParagraph"/>
        <w:numPr>
          <w:ilvl w:val="2"/>
          <w:numId w:val="8"/>
        </w:numPr>
        <w:spacing w:line="360" w:lineRule="auto"/>
      </w:pPr>
      <w:r>
        <w:t xml:space="preserve">Has the widest powers </w:t>
      </w:r>
    </w:p>
    <w:p w:rsidR="005538F5" w:rsidRDefault="005538F5" w:rsidP="00F253B4">
      <w:pPr>
        <w:pStyle w:val="ListParagraph"/>
        <w:numPr>
          <w:ilvl w:val="1"/>
          <w:numId w:val="8"/>
        </w:numPr>
        <w:spacing w:line="360" w:lineRule="auto"/>
      </w:pPr>
      <w:r>
        <w:t xml:space="preserve">The tribunal consists of a District Court Judge as chairperson (s27), three assessors </w:t>
      </w:r>
      <w:r w:rsidRPr="003A06EA">
        <w:t>two of whom are from the profession of which the practitioner has been charged and one who i</w:t>
      </w:r>
      <w:r>
        <w:t>s appointed from a public panel (s34).</w:t>
      </w:r>
    </w:p>
    <w:p w:rsidR="005538F5" w:rsidRPr="003A06EA" w:rsidRDefault="005538F5" w:rsidP="00F253B4">
      <w:pPr>
        <w:spacing w:line="360" w:lineRule="auto"/>
      </w:pPr>
    </w:p>
    <w:p w:rsidR="00612F61" w:rsidRDefault="00612F61" w:rsidP="00F253B4">
      <w:pPr>
        <w:pStyle w:val="ListParagraph"/>
        <w:numPr>
          <w:ilvl w:val="0"/>
          <w:numId w:val="8"/>
        </w:numPr>
        <w:spacing w:line="360" w:lineRule="auto"/>
      </w:pPr>
      <w:r>
        <w:rPr>
          <w:b/>
        </w:rPr>
        <w:t xml:space="preserve">GROUNDS FOR DISCIPLINARY ACTION </w:t>
      </w:r>
    </w:p>
    <w:p w:rsidR="005538F5" w:rsidRDefault="005538F5" w:rsidP="00612F61">
      <w:pPr>
        <w:pStyle w:val="ListParagraph"/>
        <w:numPr>
          <w:ilvl w:val="1"/>
          <w:numId w:val="8"/>
        </w:numPr>
        <w:spacing w:line="360" w:lineRule="auto"/>
      </w:pPr>
      <w:r w:rsidRPr="003A06EA">
        <w:t>Under the</w:t>
      </w:r>
      <w:r>
        <w:t xml:space="preserve"> s124 HPPSA</w:t>
      </w:r>
      <w:r w:rsidRPr="003A06EA">
        <w:t>, disciplinary action can be taken wh</w:t>
      </w:r>
      <w:r w:rsidR="0096484B">
        <w:t>ere there has been a finding of:</w:t>
      </w:r>
    </w:p>
    <w:p w:rsidR="0096484B" w:rsidRDefault="0096484B" w:rsidP="00F253B4">
      <w:pPr>
        <w:pStyle w:val="ListParagraph"/>
        <w:spacing w:line="360" w:lineRule="auto"/>
        <w:ind w:left="360"/>
      </w:pPr>
    </w:p>
    <w:p w:rsidR="005538F5" w:rsidRDefault="005538F5" w:rsidP="00B75202">
      <w:pPr>
        <w:pStyle w:val="ListParagraph"/>
        <w:numPr>
          <w:ilvl w:val="1"/>
          <w:numId w:val="8"/>
        </w:numPr>
        <w:spacing w:line="360" w:lineRule="auto"/>
        <w:ind w:left="284" w:hanging="710"/>
      </w:pPr>
      <w:r>
        <w:rPr>
          <w:u w:val="single"/>
        </w:rPr>
        <w:t>U</w:t>
      </w:r>
      <w:r w:rsidRPr="00E003AE">
        <w:rPr>
          <w:u w:val="single"/>
        </w:rPr>
        <w:t>nsatisfactory professional conduct</w:t>
      </w:r>
      <w:r w:rsidRPr="003A06EA">
        <w:t>.  This is defined in the Schedule to the Act to include:</w:t>
      </w:r>
    </w:p>
    <w:p w:rsidR="0096484B" w:rsidRPr="003A06EA" w:rsidRDefault="0096484B" w:rsidP="00F253B4">
      <w:pPr>
        <w:pStyle w:val="ListParagraph"/>
        <w:spacing w:line="360" w:lineRule="auto"/>
      </w:pPr>
    </w:p>
    <w:p w:rsidR="005538F5" w:rsidRDefault="005538F5" w:rsidP="00F253B4">
      <w:pPr>
        <w:pStyle w:val="ListParagraph"/>
        <w:numPr>
          <w:ilvl w:val="3"/>
          <w:numId w:val="8"/>
        </w:numPr>
        <w:spacing w:line="360" w:lineRule="auto"/>
      </w:pPr>
      <w:r w:rsidRPr="003A06EA">
        <w:t>Conduct of a lesser standard than might reasonably be expected;</w:t>
      </w:r>
    </w:p>
    <w:p w:rsidR="005538F5" w:rsidRPr="003A06EA" w:rsidRDefault="005538F5" w:rsidP="00F253B4">
      <w:pPr>
        <w:pStyle w:val="ListParagraph"/>
        <w:numPr>
          <w:ilvl w:val="5"/>
          <w:numId w:val="8"/>
        </w:numPr>
        <w:spacing w:line="360" w:lineRule="auto"/>
      </w:pPr>
      <w:r w:rsidRPr="00E003AE">
        <w:t xml:space="preserve">refers to professional conduct of a </w:t>
      </w:r>
      <w:r w:rsidRPr="00E003AE">
        <w:rPr>
          <w:i/>
          <w:iCs/>
        </w:rPr>
        <w:t>lesser</w:t>
      </w:r>
      <w:r w:rsidRPr="00E003AE">
        <w:t xml:space="preserve"> standard than that which might be expected of a registrant, rather than conduct which is </w:t>
      </w:r>
      <w:r w:rsidRPr="00E003AE">
        <w:rPr>
          <w:i/>
          <w:iCs/>
        </w:rPr>
        <w:t>substantially</w:t>
      </w:r>
      <w:r w:rsidRPr="00E003AE">
        <w:t xml:space="preserve"> below the standards considered acceptable to the profession</w:t>
      </w:r>
    </w:p>
    <w:p w:rsidR="005538F5" w:rsidRPr="003A06EA" w:rsidRDefault="005538F5" w:rsidP="00F253B4">
      <w:pPr>
        <w:pStyle w:val="ListParagraph"/>
        <w:numPr>
          <w:ilvl w:val="3"/>
          <w:numId w:val="8"/>
        </w:numPr>
        <w:spacing w:line="360" w:lineRule="auto"/>
      </w:pPr>
      <w:r w:rsidRPr="003A06EA">
        <w:t>Incompetence or lack of knowledge;</w:t>
      </w:r>
    </w:p>
    <w:p w:rsidR="005538F5" w:rsidRDefault="005538F5" w:rsidP="00F253B4">
      <w:pPr>
        <w:pStyle w:val="ListParagraph"/>
        <w:numPr>
          <w:ilvl w:val="3"/>
          <w:numId w:val="8"/>
        </w:numPr>
        <w:spacing w:line="360" w:lineRule="auto"/>
      </w:pPr>
      <w:r w:rsidRPr="003A06EA">
        <w:t xml:space="preserve">Infamous professional misconduct </w:t>
      </w:r>
    </w:p>
    <w:p w:rsidR="0096484B" w:rsidRDefault="0096484B" w:rsidP="00F253B4">
      <w:pPr>
        <w:pStyle w:val="ListParagraph"/>
        <w:spacing w:line="360" w:lineRule="auto"/>
        <w:ind w:left="1440"/>
      </w:pPr>
    </w:p>
    <w:p w:rsidR="005538F5" w:rsidRPr="0096484B" w:rsidRDefault="005538F5" w:rsidP="00F253B4">
      <w:pPr>
        <w:spacing w:line="360" w:lineRule="auto"/>
        <w:ind w:left="720" w:firstLine="720"/>
        <w:rPr>
          <w:b/>
          <w:i/>
        </w:rPr>
      </w:pPr>
      <w:r w:rsidRPr="0096484B">
        <w:rPr>
          <w:b/>
          <w:i/>
        </w:rPr>
        <w:t xml:space="preserve">Allinson v The General Council of Medical Education; </w:t>
      </w:r>
    </w:p>
    <w:p w:rsidR="005538F5" w:rsidRPr="0096484B" w:rsidRDefault="005538F5" w:rsidP="00F253B4">
      <w:pPr>
        <w:pStyle w:val="ListParagraph"/>
        <w:numPr>
          <w:ilvl w:val="5"/>
          <w:numId w:val="8"/>
        </w:numPr>
        <w:spacing w:line="360" w:lineRule="auto"/>
        <w:rPr>
          <w:i/>
          <w:lang w:val="en-US"/>
        </w:rPr>
      </w:pPr>
      <w:r w:rsidRPr="0096484B">
        <w:rPr>
          <w:i/>
          <w:lang w:val="en-US"/>
        </w:rPr>
        <w:lastRenderedPageBreak/>
        <w:t>Doctor put ads in the paper that contained reflections on doctors and their treatments and that patients should come to him instead</w:t>
      </w:r>
    </w:p>
    <w:p w:rsidR="005538F5" w:rsidRPr="0096484B" w:rsidRDefault="005538F5" w:rsidP="00F253B4">
      <w:pPr>
        <w:pStyle w:val="ListParagraph"/>
        <w:numPr>
          <w:ilvl w:val="5"/>
          <w:numId w:val="8"/>
        </w:numPr>
        <w:spacing w:line="360" w:lineRule="auto"/>
        <w:rPr>
          <w:i/>
          <w:lang w:val="en-US"/>
        </w:rPr>
      </w:pPr>
      <w:r w:rsidRPr="0096484B">
        <w:rPr>
          <w:i/>
          <w:lang w:val="en-US"/>
        </w:rPr>
        <w:t xml:space="preserve">If it can be shown a doctor has done something which can be </w:t>
      </w:r>
      <w:r w:rsidRPr="0096484B">
        <w:rPr>
          <w:i/>
        </w:rPr>
        <w:t>“reasonably regarded as disgraceful or dishonourable by his professional brethren of good repute and competency</w:t>
      </w:r>
      <w:r w:rsidRPr="0096484B">
        <w:rPr>
          <w:i/>
          <w:lang w:val="en-US"/>
        </w:rPr>
        <w:t>” there may be infamous professional misconduct</w:t>
      </w:r>
    </w:p>
    <w:p w:rsidR="0096484B" w:rsidRPr="00CA5BAD" w:rsidRDefault="0096484B" w:rsidP="00F253B4">
      <w:pPr>
        <w:pStyle w:val="ListParagraph"/>
        <w:spacing w:line="360" w:lineRule="auto"/>
        <w:ind w:left="2160"/>
        <w:rPr>
          <w:lang w:val="en-US"/>
        </w:rPr>
      </w:pPr>
    </w:p>
    <w:p w:rsidR="005538F5" w:rsidRPr="0096484B" w:rsidRDefault="005538F5" w:rsidP="00F253B4">
      <w:pPr>
        <w:spacing w:line="360" w:lineRule="auto"/>
        <w:ind w:left="720" w:firstLine="720"/>
        <w:rPr>
          <w:b/>
          <w:i/>
        </w:rPr>
      </w:pPr>
      <w:r w:rsidRPr="0096484B">
        <w:rPr>
          <w:b/>
          <w:i/>
        </w:rPr>
        <w:t>Hoile v MBSA</w:t>
      </w:r>
    </w:p>
    <w:p w:rsidR="005538F5" w:rsidRPr="0096484B" w:rsidRDefault="005538F5" w:rsidP="00F253B4">
      <w:pPr>
        <w:pStyle w:val="ListParagraph"/>
        <w:numPr>
          <w:ilvl w:val="5"/>
          <w:numId w:val="9"/>
        </w:numPr>
        <w:spacing w:line="360" w:lineRule="auto"/>
        <w:rPr>
          <w:i/>
          <w:lang w:val="en-US"/>
        </w:rPr>
      </w:pPr>
      <w:r w:rsidRPr="0096484B">
        <w:rPr>
          <w:i/>
          <w:lang w:val="en-US"/>
        </w:rPr>
        <w:t>H was superintendent of hospital</w:t>
      </w:r>
    </w:p>
    <w:p w:rsidR="005538F5" w:rsidRPr="0096484B" w:rsidRDefault="005538F5" w:rsidP="00F253B4">
      <w:pPr>
        <w:pStyle w:val="ListParagraph"/>
        <w:numPr>
          <w:ilvl w:val="5"/>
          <w:numId w:val="9"/>
        </w:numPr>
        <w:spacing w:line="360" w:lineRule="auto"/>
        <w:rPr>
          <w:i/>
          <w:lang w:val="en-US"/>
        </w:rPr>
      </w:pPr>
      <w:r w:rsidRPr="0096484B">
        <w:rPr>
          <w:i/>
          <w:lang w:val="en-US"/>
        </w:rPr>
        <w:t>Had improper relations with a nurse</w:t>
      </w:r>
    </w:p>
    <w:p w:rsidR="005538F5" w:rsidRPr="0096484B" w:rsidRDefault="005538F5" w:rsidP="00F253B4">
      <w:pPr>
        <w:pStyle w:val="ListParagraph"/>
        <w:numPr>
          <w:ilvl w:val="5"/>
          <w:numId w:val="9"/>
        </w:numPr>
        <w:spacing w:line="360" w:lineRule="auto"/>
        <w:rPr>
          <w:i/>
          <w:lang w:val="en-US"/>
        </w:rPr>
      </w:pPr>
      <w:r w:rsidRPr="0096484B">
        <w:rPr>
          <w:i/>
          <w:lang w:val="en-US"/>
        </w:rPr>
        <w:t>Involved intercourse with nurse while she was on duty</w:t>
      </w:r>
    </w:p>
    <w:p w:rsidR="005538F5" w:rsidRPr="0096484B" w:rsidRDefault="005538F5" w:rsidP="00F253B4">
      <w:pPr>
        <w:pStyle w:val="ListParagraph"/>
        <w:numPr>
          <w:ilvl w:val="5"/>
          <w:numId w:val="9"/>
        </w:numPr>
        <w:spacing w:line="360" w:lineRule="auto"/>
        <w:rPr>
          <w:i/>
          <w:lang w:val="en-US"/>
        </w:rPr>
      </w:pPr>
      <w:r w:rsidRPr="0096484B">
        <w:rPr>
          <w:i/>
          <w:lang w:val="en-US"/>
        </w:rPr>
        <w:t xml:space="preserve">Infamous is best represented by shameful, now the </w:t>
      </w:r>
      <w:r w:rsidRPr="0096484B">
        <w:rPr>
          <w:i/>
          <w:iCs/>
          <w:lang w:val="en-US"/>
        </w:rPr>
        <w:t>“</w:t>
      </w:r>
      <w:r w:rsidRPr="0096484B">
        <w:rPr>
          <w:i/>
        </w:rPr>
        <w:t>conduct of a medical practitioner in relation to his profession that it must be considered shameful or disgraceful”</w:t>
      </w:r>
    </w:p>
    <w:p w:rsidR="0096484B" w:rsidRPr="00CA5BAD" w:rsidRDefault="0096484B" w:rsidP="00F253B4">
      <w:pPr>
        <w:pStyle w:val="ListParagraph"/>
        <w:spacing w:line="360" w:lineRule="auto"/>
        <w:ind w:left="2160"/>
        <w:rPr>
          <w:lang w:val="en-US"/>
        </w:rPr>
      </w:pPr>
    </w:p>
    <w:p w:rsidR="005538F5" w:rsidRDefault="005538F5" w:rsidP="00F253B4">
      <w:pPr>
        <w:pStyle w:val="ListParagraph"/>
        <w:numPr>
          <w:ilvl w:val="3"/>
          <w:numId w:val="9"/>
        </w:numPr>
        <w:spacing w:line="360" w:lineRule="auto"/>
      </w:pPr>
      <w:r w:rsidRPr="003A06EA">
        <w:t xml:space="preserve">Misconduct in a professional respect </w:t>
      </w:r>
    </w:p>
    <w:p w:rsidR="0096484B" w:rsidRDefault="0096484B" w:rsidP="00F253B4">
      <w:pPr>
        <w:spacing w:line="360" w:lineRule="auto"/>
        <w:rPr>
          <w:i/>
        </w:rPr>
      </w:pPr>
    </w:p>
    <w:p w:rsidR="005538F5" w:rsidRPr="0096484B" w:rsidRDefault="005538F5" w:rsidP="00F253B4">
      <w:pPr>
        <w:spacing w:line="360" w:lineRule="auto"/>
        <w:ind w:left="360" w:firstLine="720"/>
        <w:rPr>
          <w:b/>
          <w:i/>
        </w:rPr>
      </w:pPr>
      <w:r w:rsidRPr="0096484B">
        <w:rPr>
          <w:b/>
          <w:i/>
        </w:rPr>
        <w:t xml:space="preserve">Qidwai v Brown [1984] 1 NSWLR 100; </w:t>
      </w:r>
    </w:p>
    <w:p w:rsidR="005538F5" w:rsidRPr="0096484B" w:rsidRDefault="005538F5" w:rsidP="00F253B4">
      <w:pPr>
        <w:pStyle w:val="ListParagraph"/>
        <w:numPr>
          <w:ilvl w:val="5"/>
          <w:numId w:val="9"/>
        </w:numPr>
        <w:spacing w:line="360" w:lineRule="auto"/>
        <w:rPr>
          <w:i/>
        </w:rPr>
      </w:pPr>
      <w:r w:rsidRPr="0096484B">
        <w:rPr>
          <w:i/>
        </w:rPr>
        <w:t>Doctor was guilty re performing surgery in inadequate facilities</w:t>
      </w:r>
    </w:p>
    <w:p w:rsidR="00342F77" w:rsidRDefault="00342F77" w:rsidP="00342F77">
      <w:pPr>
        <w:pStyle w:val="ListParagraph"/>
        <w:numPr>
          <w:ilvl w:val="5"/>
          <w:numId w:val="9"/>
        </w:numPr>
        <w:spacing w:line="360" w:lineRule="auto"/>
        <w:rPr>
          <w:i/>
        </w:rPr>
      </w:pPr>
      <w:r w:rsidRPr="00342F77">
        <w:rPr>
          <w:i/>
        </w:rPr>
        <w:t>Dr was conducting a</w:t>
      </w:r>
      <w:r>
        <w:rPr>
          <w:i/>
        </w:rPr>
        <w:t>n</w:t>
      </w:r>
      <w:r w:rsidRPr="00342F77">
        <w:rPr>
          <w:i/>
        </w:rPr>
        <w:t xml:space="preserve"> appendectomy on a day to day basis and this was not normal but he was doing it. </w:t>
      </w:r>
    </w:p>
    <w:p w:rsidR="00342F77" w:rsidRPr="00342F77" w:rsidRDefault="00342F77" w:rsidP="00342F77">
      <w:pPr>
        <w:pStyle w:val="ListParagraph"/>
        <w:numPr>
          <w:ilvl w:val="5"/>
          <w:numId w:val="9"/>
        </w:numPr>
        <w:spacing w:line="360" w:lineRule="auto"/>
        <w:rPr>
          <w:i/>
        </w:rPr>
      </w:pPr>
      <w:r w:rsidRPr="00342F77">
        <w:rPr>
          <w:i/>
        </w:rPr>
        <w:t>The evidence in that case showed that it wasn’t accepted by the profession and that it was therefore a breach of the standards but it was allowed</w:t>
      </w:r>
    </w:p>
    <w:p w:rsidR="005538F5" w:rsidRPr="0096484B" w:rsidRDefault="005538F5" w:rsidP="00F253B4">
      <w:pPr>
        <w:pStyle w:val="ListParagraph"/>
        <w:numPr>
          <w:ilvl w:val="5"/>
          <w:numId w:val="9"/>
        </w:numPr>
        <w:spacing w:line="360" w:lineRule="auto"/>
        <w:rPr>
          <w:i/>
        </w:rPr>
      </w:pPr>
      <w:r w:rsidRPr="0096484B">
        <w:rPr>
          <w:i/>
        </w:rPr>
        <w:t xml:space="preserve">Relevant test was </w:t>
      </w:r>
      <w:r w:rsidRPr="0096484B">
        <w:rPr>
          <w:i/>
          <w:iCs/>
          <w:szCs w:val="30"/>
        </w:rPr>
        <w:t>“whether there have been departures from accepted procedures and whether these departures have become the subject of professional reprobation</w:t>
      </w:r>
      <w:r w:rsidRPr="0096484B">
        <w:rPr>
          <w:i/>
          <w:szCs w:val="30"/>
        </w:rPr>
        <w:t>”</w:t>
      </w:r>
    </w:p>
    <w:p w:rsidR="005538F5" w:rsidRPr="0096484B" w:rsidRDefault="005538F5" w:rsidP="00F253B4">
      <w:pPr>
        <w:pStyle w:val="ListParagraph"/>
        <w:spacing w:line="360" w:lineRule="auto"/>
        <w:ind w:left="2160"/>
        <w:rPr>
          <w:b/>
        </w:rPr>
      </w:pPr>
    </w:p>
    <w:p w:rsidR="005538F5" w:rsidRPr="0096484B" w:rsidRDefault="005538F5" w:rsidP="00F253B4">
      <w:pPr>
        <w:spacing w:line="360" w:lineRule="auto"/>
        <w:ind w:left="720"/>
        <w:rPr>
          <w:b/>
          <w:i/>
        </w:rPr>
      </w:pPr>
      <w:r w:rsidRPr="0096484B">
        <w:rPr>
          <w:b/>
          <w:i/>
        </w:rPr>
        <w:t xml:space="preserve">Craig v MBSA (2001) 79 SASR 545; </w:t>
      </w:r>
    </w:p>
    <w:p w:rsidR="005538F5" w:rsidRPr="0096484B" w:rsidRDefault="005538F5" w:rsidP="00F253B4">
      <w:pPr>
        <w:pStyle w:val="ListParagraph"/>
        <w:numPr>
          <w:ilvl w:val="5"/>
          <w:numId w:val="10"/>
        </w:numPr>
        <w:spacing w:line="360" w:lineRule="auto"/>
        <w:rPr>
          <w:i/>
        </w:rPr>
      </w:pPr>
      <w:r w:rsidRPr="0096484B">
        <w:rPr>
          <w:i/>
        </w:rPr>
        <w:t>C treating anorexic 20 year old, had to be hospitalised</w:t>
      </w:r>
    </w:p>
    <w:p w:rsidR="005538F5" w:rsidRDefault="005538F5" w:rsidP="00342F77">
      <w:pPr>
        <w:pStyle w:val="ListParagraph"/>
        <w:numPr>
          <w:ilvl w:val="5"/>
          <w:numId w:val="10"/>
        </w:numPr>
        <w:spacing w:line="360" w:lineRule="auto"/>
        <w:rPr>
          <w:i/>
        </w:rPr>
      </w:pPr>
      <w:r w:rsidRPr="00342F77">
        <w:rPr>
          <w:i/>
        </w:rPr>
        <w:t>Began relationship, close personal friendship, kisses, hugs, gifts etc</w:t>
      </w:r>
    </w:p>
    <w:p w:rsidR="00342F77" w:rsidRPr="00342F77" w:rsidRDefault="00342F77" w:rsidP="00342F77">
      <w:pPr>
        <w:pStyle w:val="ListParagraph"/>
        <w:numPr>
          <w:ilvl w:val="5"/>
          <w:numId w:val="10"/>
        </w:numPr>
        <w:spacing w:line="360" w:lineRule="auto"/>
        <w:rPr>
          <w:i/>
        </w:rPr>
      </w:pPr>
      <w:r>
        <w:rPr>
          <w:i/>
        </w:rPr>
        <w:t xml:space="preserve">Argued that the age hap may have been a mismatch in power </w:t>
      </w:r>
    </w:p>
    <w:p w:rsidR="005538F5" w:rsidRPr="0096484B" w:rsidRDefault="005538F5" w:rsidP="00F253B4">
      <w:pPr>
        <w:pStyle w:val="ListParagraph"/>
        <w:numPr>
          <w:ilvl w:val="5"/>
          <w:numId w:val="10"/>
        </w:numPr>
        <w:spacing w:line="360" w:lineRule="auto"/>
        <w:rPr>
          <w:i/>
        </w:rPr>
      </w:pPr>
      <w:r w:rsidRPr="0096484B">
        <w:rPr>
          <w:i/>
        </w:rPr>
        <w:t>Was a suspension of 12 months</w:t>
      </w:r>
    </w:p>
    <w:p w:rsidR="005538F5" w:rsidRDefault="005538F5" w:rsidP="00F253B4">
      <w:pPr>
        <w:pStyle w:val="ListParagraph"/>
        <w:numPr>
          <w:ilvl w:val="5"/>
          <w:numId w:val="10"/>
        </w:numPr>
        <w:spacing w:line="360" w:lineRule="auto"/>
        <w:rPr>
          <w:i/>
        </w:rPr>
      </w:pPr>
      <w:r w:rsidRPr="0096484B">
        <w:rPr>
          <w:i/>
        </w:rPr>
        <w:t xml:space="preserve">Recognition the doctor failed to recognise professional boundaries, he exploited her weaknesses </w:t>
      </w:r>
    </w:p>
    <w:p w:rsidR="00342F77" w:rsidRPr="0096484B" w:rsidRDefault="00342F77" w:rsidP="00342F77">
      <w:pPr>
        <w:pStyle w:val="ListParagraph"/>
        <w:numPr>
          <w:ilvl w:val="6"/>
          <w:numId w:val="10"/>
        </w:numPr>
        <w:spacing w:line="360" w:lineRule="auto"/>
        <w:rPr>
          <w:i/>
        </w:rPr>
      </w:pPr>
      <w:r>
        <w:rPr>
          <w:i/>
        </w:rPr>
        <w:lastRenderedPageBreak/>
        <w:t xml:space="preserve">He didn’t even know that he was doing something wrong so he had failed to keep himself up to date on this kind of stuff </w:t>
      </w:r>
    </w:p>
    <w:p w:rsidR="0096484B" w:rsidRPr="0096484B" w:rsidRDefault="0096484B" w:rsidP="00F253B4">
      <w:pPr>
        <w:pStyle w:val="ListParagraph"/>
        <w:spacing w:line="360" w:lineRule="auto"/>
        <w:ind w:left="2160"/>
        <w:rPr>
          <w:i/>
        </w:rPr>
      </w:pPr>
    </w:p>
    <w:p w:rsidR="005538F5" w:rsidRPr="0096484B" w:rsidRDefault="005538F5" w:rsidP="00F253B4">
      <w:pPr>
        <w:spacing w:line="360" w:lineRule="auto"/>
        <w:ind w:firstLine="720"/>
        <w:rPr>
          <w:b/>
          <w:i/>
        </w:rPr>
      </w:pPr>
      <w:r w:rsidRPr="0096484B">
        <w:rPr>
          <w:b/>
          <w:i/>
        </w:rPr>
        <w:t>MBQ v Bayliss [2000] 1 Qd R 598;</w:t>
      </w:r>
    </w:p>
    <w:p w:rsidR="005538F5" w:rsidRPr="0096484B" w:rsidRDefault="005538F5" w:rsidP="00F253B4">
      <w:pPr>
        <w:pStyle w:val="ListParagraph"/>
        <w:numPr>
          <w:ilvl w:val="5"/>
          <w:numId w:val="11"/>
        </w:numPr>
        <w:spacing w:line="360" w:lineRule="auto"/>
        <w:rPr>
          <w:i/>
        </w:rPr>
      </w:pPr>
      <w:r w:rsidRPr="0096484B">
        <w:rPr>
          <w:i/>
        </w:rPr>
        <w:t>B provided services to patient, but failed to provide supplemental oxygen and failed to monitor the condition of patient by means of a pulse oximeter while she was his patient in the immediate recovery area of his clinic</w:t>
      </w:r>
    </w:p>
    <w:p w:rsidR="005538F5" w:rsidRPr="0096484B" w:rsidRDefault="005538F5" w:rsidP="00F253B4">
      <w:pPr>
        <w:pStyle w:val="ListParagraph"/>
        <w:numPr>
          <w:ilvl w:val="5"/>
          <w:numId w:val="11"/>
        </w:numPr>
        <w:spacing w:line="360" w:lineRule="auto"/>
        <w:rPr>
          <w:i/>
        </w:rPr>
      </w:pPr>
      <w:r w:rsidRPr="0096484B">
        <w:rPr>
          <w:i/>
        </w:rPr>
        <w:t>As a result she was reduced to a vegetative state</w:t>
      </w:r>
    </w:p>
    <w:p w:rsidR="005538F5" w:rsidRPr="0096484B" w:rsidRDefault="005538F5" w:rsidP="00F253B4">
      <w:pPr>
        <w:pStyle w:val="ListParagraph"/>
        <w:numPr>
          <w:ilvl w:val="5"/>
          <w:numId w:val="11"/>
        </w:numPr>
        <w:spacing w:line="360" w:lineRule="auto"/>
        <w:rPr>
          <w:i/>
        </w:rPr>
      </w:pPr>
      <w:r w:rsidRPr="0096484B">
        <w:rPr>
          <w:i/>
        </w:rPr>
        <w:t xml:space="preserve">HELD: in determining whether there had been misconduct in a professional respect by a medical practitioner it was necessary to find something more than mere negligence by the civil standard. </w:t>
      </w:r>
    </w:p>
    <w:p w:rsidR="005538F5" w:rsidRPr="0096484B" w:rsidRDefault="005538F5" w:rsidP="00F253B4">
      <w:pPr>
        <w:pStyle w:val="ListParagraph"/>
        <w:numPr>
          <w:ilvl w:val="5"/>
          <w:numId w:val="11"/>
        </w:numPr>
        <w:spacing w:line="360" w:lineRule="auto"/>
        <w:rPr>
          <w:i/>
        </w:rPr>
      </w:pPr>
      <w:r w:rsidRPr="0096484B">
        <w:rPr>
          <w:i/>
        </w:rPr>
        <w:t>Here the negligence of Bayliss was so serious it portrayed indifference and an abuse of the privileges accompanying registration as such a practitioner</w:t>
      </w:r>
    </w:p>
    <w:p w:rsidR="0096484B" w:rsidRPr="0096484B" w:rsidRDefault="0096484B" w:rsidP="00F253B4">
      <w:pPr>
        <w:pStyle w:val="ListParagraph"/>
        <w:spacing w:line="360" w:lineRule="auto"/>
        <w:ind w:left="2160"/>
        <w:rPr>
          <w:i/>
        </w:rPr>
      </w:pPr>
    </w:p>
    <w:p w:rsidR="005538F5" w:rsidRPr="0096484B" w:rsidRDefault="005538F5" w:rsidP="00F253B4">
      <w:pPr>
        <w:spacing w:line="360" w:lineRule="auto"/>
        <w:ind w:firstLine="720"/>
        <w:rPr>
          <w:b/>
          <w:i/>
        </w:rPr>
      </w:pPr>
      <w:r w:rsidRPr="0096484B">
        <w:rPr>
          <w:b/>
          <w:i/>
        </w:rPr>
        <w:t>Martin</w:t>
      </w:r>
    </w:p>
    <w:p w:rsidR="005538F5" w:rsidRPr="0096484B" w:rsidRDefault="005538F5" w:rsidP="00F253B4">
      <w:pPr>
        <w:pStyle w:val="ListParagraph"/>
        <w:numPr>
          <w:ilvl w:val="5"/>
          <w:numId w:val="12"/>
        </w:numPr>
        <w:spacing w:line="360" w:lineRule="auto"/>
        <w:rPr>
          <w:i/>
        </w:rPr>
      </w:pPr>
      <w:r w:rsidRPr="0096484B">
        <w:rPr>
          <w:i/>
        </w:rPr>
        <w:t>M had a patient who he had sexual relations with for 13 years, they moved in together for a while, torrid and tempestuous relationship</w:t>
      </w:r>
    </w:p>
    <w:p w:rsidR="005538F5" w:rsidRPr="0096484B" w:rsidRDefault="005538F5" w:rsidP="00F253B4">
      <w:pPr>
        <w:pStyle w:val="ListParagraph"/>
        <w:numPr>
          <w:ilvl w:val="5"/>
          <w:numId w:val="12"/>
        </w:numPr>
        <w:spacing w:line="360" w:lineRule="auto"/>
        <w:rPr>
          <w:i/>
        </w:rPr>
      </w:pPr>
      <w:r w:rsidRPr="0096484B">
        <w:rPr>
          <w:i/>
        </w:rPr>
        <w:t>Sometimes gave her medical advise/treatment throughout that time</w:t>
      </w:r>
    </w:p>
    <w:p w:rsidR="005538F5" w:rsidRPr="0096484B" w:rsidRDefault="005538F5" w:rsidP="00F253B4">
      <w:pPr>
        <w:pStyle w:val="ListParagraph"/>
        <w:numPr>
          <w:ilvl w:val="5"/>
          <w:numId w:val="12"/>
        </w:numPr>
        <w:spacing w:line="360" w:lineRule="auto"/>
        <w:rPr>
          <w:i/>
        </w:rPr>
      </w:pPr>
      <w:r w:rsidRPr="0096484B">
        <w:rPr>
          <w:i/>
        </w:rPr>
        <w:t>He transferred half his share of house to her and gave her 20 grand for overseas trip, there was evidence woman was threatening disciplinary action</w:t>
      </w:r>
    </w:p>
    <w:p w:rsidR="005538F5" w:rsidRPr="0096484B" w:rsidRDefault="005538F5" w:rsidP="00F253B4">
      <w:pPr>
        <w:pStyle w:val="ListParagraph"/>
        <w:numPr>
          <w:ilvl w:val="5"/>
          <w:numId w:val="12"/>
        </w:numPr>
        <w:spacing w:line="360" w:lineRule="auto"/>
        <w:rPr>
          <w:i/>
        </w:rPr>
      </w:pPr>
      <w:r w:rsidRPr="0096484B">
        <w:rPr>
          <w:i/>
        </w:rPr>
        <w:t>Delay in bringing complaint forward was perhaps a mitigating factor c/f Re A</w:t>
      </w:r>
    </w:p>
    <w:p w:rsidR="005538F5" w:rsidRPr="0096484B" w:rsidRDefault="005538F5" w:rsidP="00F253B4">
      <w:pPr>
        <w:pStyle w:val="ListParagraph"/>
        <w:numPr>
          <w:ilvl w:val="5"/>
          <w:numId w:val="12"/>
        </w:numPr>
        <w:spacing w:line="360" w:lineRule="auto"/>
        <w:rPr>
          <w:i/>
        </w:rPr>
      </w:pPr>
      <w:r w:rsidRPr="0096484B">
        <w:rPr>
          <w:i/>
        </w:rPr>
        <w:t>Martin suspended for 12 months</w:t>
      </w:r>
    </w:p>
    <w:p w:rsidR="0096484B" w:rsidRDefault="0096484B" w:rsidP="00F253B4">
      <w:pPr>
        <w:pStyle w:val="ListParagraph"/>
        <w:spacing w:line="360" w:lineRule="auto"/>
        <w:ind w:left="2160"/>
        <w:rPr>
          <w:i/>
        </w:rPr>
      </w:pPr>
    </w:p>
    <w:p w:rsidR="00342F77" w:rsidRPr="0096484B" w:rsidRDefault="00342F77" w:rsidP="00F253B4">
      <w:pPr>
        <w:pStyle w:val="ListParagraph"/>
        <w:spacing w:line="360" w:lineRule="auto"/>
        <w:ind w:left="2160"/>
        <w:rPr>
          <w:i/>
        </w:rPr>
      </w:pPr>
    </w:p>
    <w:p w:rsidR="005538F5" w:rsidRPr="0096484B" w:rsidRDefault="005538F5" w:rsidP="00F253B4">
      <w:pPr>
        <w:spacing w:line="360" w:lineRule="auto"/>
        <w:ind w:firstLine="720"/>
        <w:rPr>
          <w:b/>
          <w:i/>
        </w:rPr>
      </w:pPr>
      <w:r w:rsidRPr="0096484B">
        <w:rPr>
          <w:b/>
          <w:i/>
        </w:rPr>
        <w:t>Re A</w:t>
      </w:r>
    </w:p>
    <w:p w:rsidR="005538F5" w:rsidRPr="0096484B" w:rsidRDefault="005538F5" w:rsidP="00F253B4">
      <w:pPr>
        <w:numPr>
          <w:ilvl w:val="5"/>
          <w:numId w:val="13"/>
        </w:numPr>
        <w:spacing w:line="360" w:lineRule="auto"/>
        <w:rPr>
          <w:i/>
        </w:rPr>
      </w:pPr>
      <w:r w:rsidRPr="0096484B">
        <w:rPr>
          <w:i/>
        </w:rPr>
        <w:t>Doctor charged with professional misconduct</w:t>
      </w:r>
    </w:p>
    <w:p w:rsidR="005538F5" w:rsidRPr="0096484B" w:rsidRDefault="005538F5" w:rsidP="00F253B4">
      <w:pPr>
        <w:numPr>
          <w:ilvl w:val="5"/>
          <w:numId w:val="13"/>
        </w:numPr>
        <w:spacing w:line="360" w:lineRule="auto"/>
        <w:rPr>
          <w:i/>
        </w:rPr>
      </w:pPr>
      <w:r w:rsidRPr="0096484B">
        <w:rPr>
          <w:i/>
        </w:rPr>
        <w:t>There was doctor/patient relationship, they became more friendly, started bushwalking</w:t>
      </w:r>
    </w:p>
    <w:p w:rsidR="005538F5" w:rsidRPr="0096484B" w:rsidRDefault="005538F5" w:rsidP="00F253B4">
      <w:pPr>
        <w:numPr>
          <w:ilvl w:val="5"/>
          <w:numId w:val="13"/>
        </w:numPr>
        <w:spacing w:line="360" w:lineRule="auto"/>
        <w:rPr>
          <w:i/>
        </w:rPr>
      </w:pPr>
      <w:r w:rsidRPr="0096484B">
        <w:rPr>
          <w:i/>
        </w:rPr>
        <w:t>They were romantically attracted to each other</w:t>
      </w:r>
    </w:p>
    <w:p w:rsidR="005538F5" w:rsidRPr="0096484B" w:rsidRDefault="005538F5" w:rsidP="00F253B4">
      <w:pPr>
        <w:numPr>
          <w:ilvl w:val="5"/>
          <w:numId w:val="13"/>
        </w:numPr>
        <w:spacing w:line="360" w:lineRule="auto"/>
        <w:rPr>
          <w:i/>
        </w:rPr>
      </w:pPr>
      <w:r w:rsidRPr="0096484B">
        <w:rPr>
          <w:i/>
        </w:rPr>
        <w:t>Doctor invited patient away for a weekend to Byron bay and intercourse did occur</w:t>
      </w:r>
    </w:p>
    <w:p w:rsidR="005538F5" w:rsidRPr="0096484B" w:rsidRDefault="005538F5" w:rsidP="00F253B4">
      <w:pPr>
        <w:numPr>
          <w:ilvl w:val="5"/>
          <w:numId w:val="13"/>
        </w:numPr>
        <w:spacing w:line="360" w:lineRule="auto"/>
        <w:rPr>
          <w:i/>
        </w:rPr>
      </w:pPr>
      <w:r w:rsidRPr="0096484B">
        <w:rPr>
          <w:i/>
        </w:rPr>
        <w:t>Doctor was married at the time</w:t>
      </w:r>
    </w:p>
    <w:p w:rsidR="005538F5" w:rsidRPr="0096484B" w:rsidRDefault="005538F5" w:rsidP="00F253B4">
      <w:pPr>
        <w:numPr>
          <w:ilvl w:val="5"/>
          <w:numId w:val="13"/>
        </w:numPr>
        <w:spacing w:line="360" w:lineRule="auto"/>
        <w:rPr>
          <w:i/>
        </w:rPr>
      </w:pPr>
      <w:r w:rsidRPr="0096484B">
        <w:rPr>
          <w:i/>
        </w:rPr>
        <w:t>He sought to terminate relationship after that</w:t>
      </w:r>
    </w:p>
    <w:p w:rsidR="005538F5" w:rsidRPr="0096484B" w:rsidRDefault="005538F5" w:rsidP="00F253B4">
      <w:pPr>
        <w:numPr>
          <w:ilvl w:val="5"/>
          <w:numId w:val="13"/>
        </w:numPr>
        <w:spacing w:line="360" w:lineRule="auto"/>
        <w:rPr>
          <w:i/>
        </w:rPr>
      </w:pPr>
      <w:r w:rsidRPr="0096484B">
        <w:rPr>
          <w:i/>
        </w:rPr>
        <w:lastRenderedPageBreak/>
        <w:t>There was a risk of emotional attachment, doctor should be aware of these risks and not try to aggravate the position nor take advantage</w:t>
      </w:r>
    </w:p>
    <w:p w:rsidR="005538F5" w:rsidRPr="0096484B" w:rsidRDefault="005538F5" w:rsidP="00F253B4">
      <w:pPr>
        <w:numPr>
          <w:ilvl w:val="5"/>
          <w:numId w:val="13"/>
        </w:numPr>
        <w:spacing w:line="360" w:lineRule="auto"/>
        <w:rPr>
          <w:i/>
        </w:rPr>
      </w:pPr>
      <w:r w:rsidRPr="0096484B">
        <w:rPr>
          <w:i/>
        </w:rPr>
        <w:t>Doctor should sever the doctor/patient relationship where romantic feelings involved, objectivity is lost.  But where only coming from patient not necessary to sever the doctor/patient relationship</w:t>
      </w:r>
    </w:p>
    <w:p w:rsidR="005538F5" w:rsidRPr="0096484B" w:rsidRDefault="005538F5" w:rsidP="00F253B4">
      <w:pPr>
        <w:numPr>
          <w:ilvl w:val="5"/>
          <w:numId w:val="13"/>
        </w:numPr>
        <w:spacing w:line="360" w:lineRule="auto"/>
        <w:rPr>
          <w:i/>
        </w:rPr>
      </w:pPr>
      <w:r w:rsidRPr="0096484B">
        <w:rPr>
          <w:i/>
        </w:rPr>
        <w:t>It is professional misconduct to explore a discontinued professional relationship, but not in all circumstance</w:t>
      </w:r>
    </w:p>
    <w:p w:rsidR="005538F5" w:rsidRPr="0096484B" w:rsidRDefault="005538F5" w:rsidP="00F253B4">
      <w:pPr>
        <w:numPr>
          <w:ilvl w:val="5"/>
          <w:numId w:val="13"/>
        </w:numPr>
        <w:spacing w:line="360" w:lineRule="auto"/>
        <w:rPr>
          <w:i/>
        </w:rPr>
      </w:pPr>
      <w:r w:rsidRPr="0096484B">
        <w:rPr>
          <w:i/>
        </w:rPr>
        <w:t>Individual cases differ on facts</w:t>
      </w:r>
    </w:p>
    <w:p w:rsidR="005538F5" w:rsidRPr="0096484B" w:rsidRDefault="005538F5" w:rsidP="00F253B4">
      <w:pPr>
        <w:numPr>
          <w:ilvl w:val="5"/>
          <w:numId w:val="13"/>
        </w:numPr>
        <w:spacing w:line="360" w:lineRule="auto"/>
        <w:rPr>
          <w:i/>
        </w:rPr>
      </w:pPr>
      <w:r w:rsidRPr="0096484B">
        <w:rPr>
          <w:i/>
        </w:rPr>
        <w:t>Look at the 18 points judge made out</w:t>
      </w:r>
    </w:p>
    <w:p w:rsidR="005538F5" w:rsidRPr="0096484B" w:rsidRDefault="005538F5" w:rsidP="00F253B4">
      <w:pPr>
        <w:numPr>
          <w:ilvl w:val="5"/>
          <w:numId w:val="13"/>
        </w:numPr>
        <w:spacing w:line="360" w:lineRule="auto"/>
        <w:rPr>
          <w:i/>
        </w:rPr>
      </w:pPr>
      <w:r w:rsidRPr="0096484B">
        <w:rPr>
          <w:i/>
        </w:rPr>
        <w:t>Doctor suspended for 6 months</w:t>
      </w:r>
    </w:p>
    <w:p w:rsidR="0096484B" w:rsidRPr="00D124A7" w:rsidRDefault="0096484B" w:rsidP="00F253B4">
      <w:pPr>
        <w:spacing w:line="360" w:lineRule="auto"/>
        <w:ind w:left="2160"/>
      </w:pPr>
    </w:p>
    <w:p w:rsidR="005538F5" w:rsidRPr="003A06EA" w:rsidRDefault="005538F5" w:rsidP="00F253B4">
      <w:pPr>
        <w:pStyle w:val="ListParagraph"/>
        <w:numPr>
          <w:ilvl w:val="3"/>
          <w:numId w:val="13"/>
        </w:numPr>
        <w:spacing w:line="360" w:lineRule="auto"/>
      </w:pPr>
      <w:r w:rsidRPr="003A06EA">
        <w:t>Conduct discreditable to the profession;</w:t>
      </w:r>
    </w:p>
    <w:p w:rsidR="005538F5" w:rsidRPr="003A06EA" w:rsidRDefault="005538F5" w:rsidP="00F253B4">
      <w:pPr>
        <w:pStyle w:val="ListParagraph"/>
        <w:numPr>
          <w:ilvl w:val="3"/>
          <w:numId w:val="13"/>
        </w:numPr>
        <w:spacing w:line="360" w:lineRule="auto"/>
      </w:pPr>
      <w:r w:rsidRPr="003A06EA">
        <w:t>Providing a person with unnecessary health services;</w:t>
      </w:r>
    </w:p>
    <w:p w:rsidR="005538F5" w:rsidRPr="003A06EA" w:rsidRDefault="005538F5" w:rsidP="00F253B4">
      <w:pPr>
        <w:pStyle w:val="ListParagraph"/>
        <w:numPr>
          <w:ilvl w:val="3"/>
          <w:numId w:val="13"/>
        </w:numPr>
        <w:spacing w:line="360" w:lineRule="auto"/>
      </w:pPr>
      <w:r>
        <w:t xml:space="preserve"> </w:t>
      </w:r>
      <w:r w:rsidRPr="003A06EA">
        <w:t>Influencing another in a way that might compromise patient care;</w:t>
      </w:r>
    </w:p>
    <w:p w:rsidR="005538F5" w:rsidRPr="003A06EA" w:rsidRDefault="005538F5" w:rsidP="00F253B4">
      <w:pPr>
        <w:pStyle w:val="ListParagraph"/>
        <w:numPr>
          <w:ilvl w:val="3"/>
          <w:numId w:val="13"/>
        </w:numPr>
        <w:spacing w:line="360" w:lineRule="auto"/>
      </w:pPr>
      <w:r w:rsidRPr="003A06EA">
        <w:t>Fraud or dishonesty in practice; and</w:t>
      </w:r>
    </w:p>
    <w:p w:rsidR="005538F5" w:rsidRDefault="005538F5" w:rsidP="00F253B4">
      <w:pPr>
        <w:pStyle w:val="ListParagraph"/>
        <w:numPr>
          <w:ilvl w:val="3"/>
          <w:numId w:val="13"/>
        </w:numPr>
        <w:spacing w:line="360" w:lineRule="auto"/>
      </w:pPr>
      <w:r w:rsidRPr="003A06EA">
        <w:t>Other improper or unethical conduct.</w:t>
      </w:r>
    </w:p>
    <w:p w:rsidR="0096484B" w:rsidRPr="003A06EA" w:rsidRDefault="0096484B" w:rsidP="00F253B4">
      <w:pPr>
        <w:pStyle w:val="ListParagraph"/>
        <w:spacing w:line="360" w:lineRule="auto"/>
        <w:ind w:left="1440"/>
      </w:pPr>
    </w:p>
    <w:p w:rsidR="005538F5" w:rsidRPr="003A06EA" w:rsidRDefault="005538F5" w:rsidP="00F253B4">
      <w:pPr>
        <w:pStyle w:val="ListParagraph"/>
        <w:numPr>
          <w:ilvl w:val="0"/>
          <w:numId w:val="13"/>
        </w:numPr>
        <w:spacing w:line="360" w:lineRule="auto"/>
      </w:pPr>
      <w:r>
        <w:t xml:space="preserve"> </w:t>
      </w:r>
      <w:r w:rsidRPr="003A06EA">
        <w:t>Failure to comply with a condition of practice or provision or demand made under the Act;</w:t>
      </w:r>
    </w:p>
    <w:p w:rsidR="005538F5" w:rsidRPr="003A06EA" w:rsidRDefault="005538F5" w:rsidP="00F253B4">
      <w:pPr>
        <w:pStyle w:val="ListParagraph"/>
        <w:numPr>
          <w:ilvl w:val="0"/>
          <w:numId w:val="13"/>
        </w:numPr>
        <w:spacing w:line="360" w:lineRule="auto"/>
      </w:pPr>
      <w:r w:rsidRPr="003A06EA">
        <w:t>Conviction of an offence relating to professional practice;</w:t>
      </w:r>
    </w:p>
    <w:p w:rsidR="005538F5" w:rsidRPr="003A06EA" w:rsidRDefault="005538F5" w:rsidP="00F253B4">
      <w:pPr>
        <w:pStyle w:val="ListParagraph"/>
        <w:numPr>
          <w:ilvl w:val="0"/>
          <w:numId w:val="13"/>
        </w:numPr>
        <w:spacing w:line="360" w:lineRule="auto"/>
      </w:pPr>
      <w:r w:rsidRPr="003A06EA">
        <w:t>Failure to meet requirements for registration; and</w:t>
      </w:r>
    </w:p>
    <w:p w:rsidR="005538F5" w:rsidRDefault="005538F5" w:rsidP="00F253B4">
      <w:pPr>
        <w:pStyle w:val="ListParagraph"/>
        <w:numPr>
          <w:ilvl w:val="0"/>
          <w:numId w:val="13"/>
        </w:numPr>
        <w:spacing w:line="360" w:lineRule="auto"/>
      </w:pPr>
      <w:r>
        <w:t xml:space="preserve">Impairment </w:t>
      </w:r>
    </w:p>
    <w:p w:rsidR="005538F5" w:rsidRDefault="005538F5" w:rsidP="00F253B4">
      <w:pPr>
        <w:pStyle w:val="ListParagraph"/>
        <w:numPr>
          <w:ilvl w:val="1"/>
          <w:numId w:val="13"/>
        </w:numPr>
        <w:spacing w:line="360" w:lineRule="auto"/>
      </w:pPr>
      <w:r w:rsidRPr="00571C0D">
        <w:t>physical or mental impairment that detrimentally affects a medical practitioner's capacity to practice</w:t>
      </w:r>
    </w:p>
    <w:p w:rsidR="005538F5" w:rsidRDefault="005538F5" w:rsidP="00F253B4">
      <w:pPr>
        <w:pStyle w:val="ListParagraph"/>
        <w:numPr>
          <w:ilvl w:val="1"/>
          <w:numId w:val="13"/>
        </w:numPr>
        <w:spacing w:line="360" w:lineRule="auto"/>
      </w:pPr>
      <w:r w:rsidRPr="00E003AE">
        <w:t>substance abuse or dependence</w:t>
      </w:r>
    </w:p>
    <w:p w:rsidR="005538F5" w:rsidRDefault="005538F5" w:rsidP="00F253B4">
      <w:pPr>
        <w:spacing w:line="360" w:lineRule="auto"/>
      </w:pPr>
    </w:p>
    <w:p w:rsidR="005538F5" w:rsidRDefault="005538F5" w:rsidP="00F253B4">
      <w:pPr>
        <w:pStyle w:val="Heading2aa"/>
        <w:numPr>
          <w:ilvl w:val="0"/>
          <w:numId w:val="13"/>
        </w:numPr>
        <w:spacing w:line="360" w:lineRule="auto"/>
      </w:pPr>
      <w:r>
        <w:t>Relevance of ethical standards</w:t>
      </w:r>
    </w:p>
    <w:p w:rsidR="005538F5" w:rsidRDefault="005538F5" w:rsidP="00F253B4">
      <w:pPr>
        <w:pStyle w:val="ListParagraph"/>
        <w:numPr>
          <w:ilvl w:val="1"/>
          <w:numId w:val="13"/>
        </w:numPr>
        <w:spacing w:line="360" w:lineRule="auto"/>
      </w:pPr>
      <w:r>
        <w:t>In addition to the legal duties imposed on doctors, they are also under ethical duties to patients, colleagues and community.  Although these ethical duties are not legally binding, any breach may result in an action in negligence or contract, and in the context of disciplinary actions, may count towards establishing unsatisfactory professional conduct (</w:t>
      </w:r>
      <w:r w:rsidRPr="005538F5">
        <w:rPr>
          <w:i/>
        </w:rPr>
        <w:t>PB v Robinson</w:t>
      </w:r>
      <w:r>
        <w:t>).</w:t>
      </w:r>
    </w:p>
    <w:p w:rsidR="005538F5" w:rsidRDefault="005538F5" w:rsidP="00F253B4">
      <w:pPr>
        <w:spacing w:line="360" w:lineRule="auto"/>
      </w:pPr>
    </w:p>
    <w:p w:rsidR="005538F5" w:rsidRPr="0096484B" w:rsidRDefault="005538F5" w:rsidP="00F253B4">
      <w:pPr>
        <w:spacing w:line="360" w:lineRule="auto"/>
        <w:rPr>
          <w:b/>
          <w:i/>
        </w:rPr>
      </w:pPr>
      <w:r w:rsidRPr="0096484B">
        <w:rPr>
          <w:b/>
          <w:i/>
        </w:rPr>
        <w:t>Psychologists Board v Robinson [2004] QCA 405</w:t>
      </w:r>
    </w:p>
    <w:p w:rsidR="005538F5" w:rsidRPr="0096484B" w:rsidRDefault="005538F5" w:rsidP="00F253B4">
      <w:pPr>
        <w:pStyle w:val="ListParagraph"/>
        <w:numPr>
          <w:ilvl w:val="1"/>
          <w:numId w:val="14"/>
        </w:numPr>
        <w:spacing w:line="360" w:lineRule="auto"/>
        <w:rPr>
          <w:rFonts w:asciiTheme="minorHAnsi" w:hAnsiTheme="minorHAnsi"/>
          <w:i/>
        </w:rPr>
      </w:pPr>
      <w:r w:rsidRPr="0096484B">
        <w:rPr>
          <w:rFonts w:asciiTheme="minorHAnsi" w:hAnsiTheme="minorHAnsi"/>
          <w:i/>
          <w:iCs/>
          <w:szCs w:val="30"/>
        </w:rPr>
        <w:t>Allegations bough on grounds a, c, e and i</w:t>
      </w:r>
    </w:p>
    <w:p w:rsidR="005538F5" w:rsidRPr="0096484B" w:rsidRDefault="005538F5" w:rsidP="00F253B4">
      <w:pPr>
        <w:pStyle w:val="ListParagraph"/>
        <w:numPr>
          <w:ilvl w:val="1"/>
          <w:numId w:val="14"/>
        </w:numPr>
        <w:spacing w:line="360" w:lineRule="auto"/>
        <w:rPr>
          <w:rFonts w:asciiTheme="minorHAnsi" w:hAnsiTheme="minorHAnsi"/>
          <w:i/>
        </w:rPr>
      </w:pPr>
      <w:r w:rsidRPr="0096484B">
        <w:rPr>
          <w:rFonts w:asciiTheme="minorHAnsi" w:hAnsiTheme="minorHAnsi"/>
          <w:i/>
          <w:iCs/>
          <w:szCs w:val="30"/>
        </w:rPr>
        <w:lastRenderedPageBreak/>
        <w:t>Female psychologists</w:t>
      </w:r>
    </w:p>
    <w:p w:rsidR="005538F5" w:rsidRPr="0096484B" w:rsidRDefault="005538F5" w:rsidP="00F253B4">
      <w:pPr>
        <w:pStyle w:val="ListParagraph"/>
        <w:numPr>
          <w:ilvl w:val="1"/>
          <w:numId w:val="14"/>
        </w:numPr>
        <w:spacing w:line="360" w:lineRule="auto"/>
        <w:rPr>
          <w:rFonts w:asciiTheme="minorHAnsi" w:hAnsiTheme="minorHAnsi"/>
          <w:i/>
        </w:rPr>
      </w:pPr>
      <w:r w:rsidRPr="0096484B">
        <w:rPr>
          <w:rFonts w:asciiTheme="minorHAnsi" w:hAnsiTheme="minorHAnsi"/>
          <w:i/>
          <w:iCs/>
          <w:szCs w:val="30"/>
        </w:rPr>
        <w:t>Had relationship with previous client, was a criminal</w:t>
      </w:r>
    </w:p>
    <w:p w:rsidR="005538F5" w:rsidRPr="0096484B" w:rsidRDefault="005538F5" w:rsidP="00F253B4">
      <w:pPr>
        <w:pStyle w:val="ListParagraph"/>
        <w:numPr>
          <w:ilvl w:val="1"/>
          <w:numId w:val="14"/>
        </w:numPr>
        <w:spacing w:line="360" w:lineRule="auto"/>
        <w:rPr>
          <w:rFonts w:asciiTheme="minorHAnsi" w:hAnsiTheme="minorHAnsi"/>
          <w:i/>
        </w:rPr>
      </w:pPr>
      <w:r w:rsidRPr="0096484B">
        <w:rPr>
          <w:rFonts w:asciiTheme="minorHAnsi" w:hAnsiTheme="minorHAnsi"/>
          <w:i/>
          <w:iCs/>
          <w:szCs w:val="30"/>
        </w:rPr>
        <w:t>She saw him randomly on a street when he got out</w:t>
      </w:r>
    </w:p>
    <w:p w:rsidR="005538F5" w:rsidRPr="0096484B" w:rsidRDefault="005538F5" w:rsidP="00F253B4">
      <w:pPr>
        <w:pStyle w:val="ListParagraph"/>
        <w:numPr>
          <w:ilvl w:val="1"/>
          <w:numId w:val="14"/>
        </w:numPr>
        <w:spacing w:line="360" w:lineRule="auto"/>
        <w:rPr>
          <w:rFonts w:asciiTheme="minorHAnsi" w:hAnsiTheme="minorHAnsi"/>
          <w:i/>
        </w:rPr>
      </w:pPr>
      <w:r w:rsidRPr="0096484B">
        <w:rPr>
          <w:rFonts w:asciiTheme="minorHAnsi" w:hAnsiTheme="minorHAnsi"/>
          <w:i/>
          <w:iCs/>
          <w:szCs w:val="30"/>
        </w:rPr>
        <w:t>He ended up staying at her house and they had sexual relations</w:t>
      </w:r>
    </w:p>
    <w:p w:rsidR="005538F5" w:rsidRPr="0096484B" w:rsidRDefault="005538F5" w:rsidP="00F253B4">
      <w:pPr>
        <w:pStyle w:val="ListParagraph"/>
        <w:numPr>
          <w:ilvl w:val="1"/>
          <w:numId w:val="14"/>
        </w:numPr>
        <w:spacing w:line="360" w:lineRule="auto"/>
        <w:rPr>
          <w:rFonts w:asciiTheme="minorHAnsi" w:hAnsiTheme="minorHAnsi"/>
          <w:i/>
        </w:rPr>
      </w:pPr>
      <w:r w:rsidRPr="0096484B">
        <w:rPr>
          <w:rFonts w:asciiTheme="minorHAnsi" w:hAnsiTheme="minorHAnsi"/>
          <w:i/>
          <w:iCs/>
          <w:szCs w:val="30"/>
        </w:rPr>
        <w:t>She was aware of ethical standards, approached her superior and was advised to stay away</w:t>
      </w:r>
    </w:p>
    <w:p w:rsidR="005538F5" w:rsidRPr="0096484B" w:rsidRDefault="005538F5" w:rsidP="00F253B4">
      <w:pPr>
        <w:pStyle w:val="ListParagraph"/>
        <w:numPr>
          <w:ilvl w:val="1"/>
          <w:numId w:val="14"/>
        </w:numPr>
        <w:spacing w:line="360" w:lineRule="auto"/>
        <w:rPr>
          <w:rFonts w:asciiTheme="minorHAnsi" w:hAnsiTheme="minorHAnsi"/>
          <w:i/>
        </w:rPr>
      </w:pPr>
      <w:r w:rsidRPr="0096484B">
        <w:rPr>
          <w:rFonts w:asciiTheme="minorHAnsi" w:hAnsiTheme="minorHAnsi"/>
          <w:i/>
          <w:iCs/>
          <w:szCs w:val="30"/>
        </w:rPr>
        <w:t>Was a breach of professional misconduct</w:t>
      </w:r>
    </w:p>
    <w:p w:rsidR="005538F5" w:rsidRPr="0096484B" w:rsidRDefault="005538F5" w:rsidP="00F253B4">
      <w:pPr>
        <w:pStyle w:val="ListParagraph"/>
        <w:numPr>
          <w:ilvl w:val="1"/>
          <w:numId w:val="14"/>
        </w:numPr>
        <w:spacing w:line="360" w:lineRule="auto"/>
        <w:rPr>
          <w:rFonts w:asciiTheme="minorHAnsi" w:hAnsiTheme="minorHAnsi"/>
          <w:i/>
        </w:rPr>
      </w:pPr>
      <w:r w:rsidRPr="0096484B">
        <w:rPr>
          <w:rFonts w:asciiTheme="minorHAnsi" w:hAnsiTheme="minorHAnsi"/>
          <w:i/>
          <w:iCs/>
          <w:szCs w:val="30"/>
        </w:rPr>
        <w:t>Psychs generally consider ethical codes binding on themselves even though no legislative force</w:t>
      </w:r>
    </w:p>
    <w:p w:rsidR="005538F5" w:rsidRDefault="005538F5" w:rsidP="00F253B4">
      <w:pPr>
        <w:pStyle w:val="ListParagraph"/>
        <w:spacing w:line="360" w:lineRule="auto"/>
        <w:ind w:left="360"/>
      </w:pPr>
    </w:p>
    <w:p w:rsidR="00A52091" w:rsidRDefault="00A52091" w:rsidP="00F253B4">
      <w:pPr>
        <w:spacing w:line="360" w:lineRule="auto"/>
      </w:pPr>
    </w:p>
    <w:sectPr w:rsidR="00A52091" w:rsidSect="00A52091">
      <w:footerReference w:type="default" r:id="rId13"/>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92CD5" w:rsidRDefault="00692CD5" w:rsidP="005538F5">
      <w:r>
        <w:separator/>
      </w:r>
    </w:p>
  </w:endnote>
  <w:endnote w:type="continuationSeparator" w:id="1">
    <w:p w:rsidR="00692CD5" w:rsidRDefault="00692CD5" w:rsidP="005538F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942489"/>
      <w:docPartObj>
        <w:docPartGallery w:val="Page Numbers (Bottom of Page)"/>
        <w:docPartUnique/>
      </w:docPartObj>
    </w:sdtPr>
    <w:sdtContent>
      <w:p w:rsidR="005538F5" w:rsidRDefault="005538F5">
        <w:pPr>
          <w:pStyle w:val="Footer"/>
          <w:jc w:val="right"/>
        </w:pPr>
        <w:fldSimple w:instr=" PAGE   \* MERGEFORMAT ">
          <w:r w:rsidR="00B75202">
            <w:rPr>
              <w:noProof/>
            </w:rPr>
            <w:t>13</w:t>
          </w:r>
        </w:fldSimple>
      </w:p>
    </w:sdtContent>
  </w:sdt>
  <w:p w:rsidR="005538F5" w:rsidRDefault="005538F5">
    <w:pPr>
      <w:pStyle w:val="Footer"/>
    </w:pPr>
    <w:r>
      <w:t>Ann Jobson</w:t>
    </w:r>
    <w:r>
      <w:tab/>
      <w:t>LWB 483 s2/2009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92CD5" w:rsidRDefault="00692CD5" w:rsidP="005538F5">
      <w:r>
        <w:separator/>
      </w:r>
    </w:p>
  </w:footnote>
  <w:footnote w:type="continuationSeparator" w:id="1">
    <w:p w:rsidR="00692CD5" w:rsidRDefault="00692CD5" w:rsidP="005538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97DE8"/>
    <w:multiLevelType w:val="multilevel"/>
    <w:tmpl w:val="DD6286A6"/>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3F757B5"/>
    <w:multiLevelType w:val="multilevel"/>
    <w:tmpl w:val="DD6286A6"/>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6022E3A"/>
    <w:multiLevelType w:val="multilevel"/>
    <w:tmpl w:val="0C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3">
    <w:nsid w:val="1366742D"/>
    <w:multiLevelType w:val="multilevel"/>
    <w:tmpl w:val="FEE68326"/>
    <w:lvl w:ilvl="0">
      <w:start w:val="1"/>
      <w:numFmt w:val="decimal"/>
      <w:pStyle w:val="Heading2a"/>
      <w:lvlText w:val="%1."/>
      <w:lvlJc w:val="left"/>
      <w:pPr>
        <w:ind w:left="360" w:hanging="360"/>
      </w:pPr>
      <w:rPr>
        <w:rFonts w:hint="default"/>
      </w:rPr>
    </w:lvl>
    <w:lvl w:ilvl="1">
      <w:start w:val="1"/>
      <w:numFmt w:val="decimal"/>
      <w:pStyle w:val="Heading2aa"/>
      <w:isLgl/>
      <w:lvlText w:val="%1.%2"/>
      <w:lvlJc w:val="left"/>
      <w:pPr>
        <w:ind w:left="786" w:hanging="360"/>
      </w:pPr>
      <w:rPr>
        <w:rFonts w:hint="default"/>
        <w:i w:val="0"/>
      </w:rPr>
    </w:lvl>
    <w:lvl w:ilvl="2">
      <w:start w:val="1"/>
      <w:numFmt w:val="decimal"/>
      <w:pStyle w:val="Heading2aaa"/>
      <w:isLgl/>
      <w:lvlText w:val="%1.%2.%3"/>
      <w:lvlJc w:val="left"/>
      <w:pPr>
        <w:ind w:left="2138" w:hanging="720"/>
      </w:pPr>
      <w:rPr>
        <w:rFonts w:hint="default"/>
        <w:i w:val="0"/>
      </w:rPr>
    </w:lvl>
    <w:lvl w:ilvl="3">
      <w:start w:val="1"/>
      <w:numFmt w:val="decimal"/>
      <w:isLgl/>
      <w:lvlText w:val="%1.%2.%3.%4"/>
      <w:lvlJc w:val="left"/>
      <w:pPr>
        <w:ind w:left="2705"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4">
    <w:nsid w:val="15FC1BD1"/>
    <w:multiLevelType w:val="hybridMultilevel"/>
    <w:tmpl w:val="93849DAE"/>
    <w:lvl w:ilvl="0" w:tplc="D8D40072">
      <w:start w:val="1"/>
      <w:numFmt w:val="bullet"/>
      <w:lvlText w:val="-"/>
      <w:lvlJc w:val="left"/>
      <w:pPr>
        <w:ind w:left="360" w:hanging="360"/>
      </w:pPr>
      <w:rPr>
        <w:rFonts w:ascii="Calibri" w:eastAsiaTheme="minorHAnsi" w:hAnsi="Calibri" w:cs="Times New Roman" w:hint="default"/>
      </w:rPr>
    </w:lvl>
    <w:lvl w:ilvl="1" w:tplc="0C090003">
      <w:start w:val="1"/>
      <w:numFmt w:val="bullet"/>
      <w:lvlText w:val="o"/>
      <w:lvlJc w:val="left"/>
      <w:pPr>
        <w:ind w:left="928" w:hanging="360"/>
      </w:pPr>
      <w:rPr>
        <w:rFonts w:ascii="Courier New" w:hAnsi="Courier New" w:cs="Courier New" w:hint="default"/>
      </w:rPr>
    </w:lvl>
    <w:lvl w:ilvl="2" w:tplc="0C090005">
      <w:start w:val="1"/>
      <w:numFmt w:val="bullet"/>
      <w:lvlText w:val=""/>
      <w:lvlJc w:val="left"/>
      <w:pPr>
        <w:ind w:left="1495"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9E80936"/>
    <w:multiLevelType w:val="hybridMultilevel"/>
    <w:tmpl w:val="3A7868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203F4250"/>
    <w:multiLevelType w:val="hybridMultilevel"/>
    <w:tmpl w:val="2B48C5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27C31A0">
      <w:start w:val="226"/>
      <w:numFmt w:val="bullet"/>
      <w:lvlText w:val="-"/>
      <w:lvlJc w:val="left"/>
      <w:pPr>
        <w:ind w:left="360" w:hanging="360"/>
      </w:pPr>
      <w:rPr>
        <w:rFonts w:ascii="Times New Roman" w:eastAsia="Times New Roman" w:hAnsi="Times New Roman" w:cs="Times New Roman" w:hint="default"/>
      </w:rPr>
    </w:lvl>
    <w:lvl w:ilvl="3" w:tplc="04090003">
      <w:start w:val="1"/>
      <w:numFmt w:val="bullet"/>
      <w:lvlText w:val="o"/>
      <w:lvlJc w:val="left"/>
      <w:pPr>
        <w:tabs>
          <w:tab w:val="num" w:pos="928"/>
        </w:tabs>
        <w:ind w:left="928" w:hanging="360"/>
      </w:pPr>
      <w:rPr>
        <w:rFonts w:ascii="Courier New" w:hAnsi="Courier New" w:cs="Courier New" w:hint="default"/>
      </w:rPr>
    </w:lvl>
    <w:lvl w:ilvl="4" w:tplc="04090005">
      <w:start w:val="1"/>
      <w:numFmt w:val="bullet"/>
      <w:lvlText w:val=""/>
      <w:lvlJc w:val="left"/>
      <w:pPr>
        <w:tabs>
          <w:tab w:val="num" w:pos="1495"/>
        </w:tabs>
        <w:ind w:left="1495" w:hanging="360"/>
      </w:pPr>
      <w:rPr>
        <w:rFonts w:ascii="Wingdings" w:hAnsi="Wingdings" w:hint="default"/>
      </w:rPr>
    </w:lvl>
    <w:lvl w:ilvl="5" w:tplc="04090001">
      <w:start w:val="1"/>
      <w:numFmt w:val="bullet"/>
      <w:lvlText w:val=""/>
      <w:lvlJc w:val="left"/>
      <w:pPr>
        <w:tabs>
          <w:tab w:val="num" w:pos="2062"/>
        </w:tabs>
        <w:ind w:left="2062" w:hanging="360"/>
      </w:pPr>
      <w:rPr>
        <w:rFonts w:ascii="Symbol" w:hAnsi="Symbol"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D042E9D"/>
    <w:multiLevelType w:val="multilevel"/>
    <w:tmpl w:val="248A353C"/>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31D87989"/>
    <w:multiLevelType w:val="multilevel"/>
    <w:tmpl w:val="0C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9">
    <w:nsid w:val="34D163C0"/>
    <w:multiLevelType w:val="multilevel"/>
    <w:tmpl w:val="DD6286A6"/>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34EE3B8E"/>
    <w:multiLevelType w:val="multilevel"/>
    <w:tmpl w:val="DD6286A6"/>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80710A0"/>
    <w:multiLevelType w:val="multilevel"/>
    <w:tmpl w:val="DD6286A6"/>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45477803"/>
    <w:multiLevelType w:val="multilevel"/>
    <w:tmpl w:val="DD6286A6"/>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4D8C3D48"/>
    <w:multiLevelType w:val="hybridMultilevel"/>
    <w:tmpl w:val="25FC8970"/>
    <w:lvl w:ilvl="0" w:tplc="04090017">
      <w:start w:val="1"/>
      <w:numFmt w:val="lowerLetter"/>
      <w:lvlText w:val="%1)"/>
      <w:lvlJc w:val="left"/>
      <w:pPr>
        <w:tabs>
          <w:tab w:val="num" w:pos="1080"/>
        </w:tabs>
        <w:ind w:left="108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B133C5B"/>
    <w:multiLevelType w:val="multilevel"/>
    <w:tmpl w:val="DD6286A6"/>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5DDC14B2"/>
    <w:multiLevelType w:val="hybridMultilevel"/>
    <w:tmpl w:val="B970B206"/>
    <w:lvl w:ilvl="0" w:tplc="04090017">
      <w:start w:val="1"/>
      <w:numFmt w:val="lowerLetter"/>
      <w:lvlText w:val="%1)"/>
      <w:lvlJc w:val="left"/>
      <w:pPr>
        <w:tabs>
          <w:tab w:val="num" w:pos="1080"/>
        </w:tabs>
        <w:ind w:left="1080" w:hanging="360"/>
      </w:pPr>
      <w:rPr>
        <w:rFonts w:hint="default"/>
      </w:r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6">
    <w:nsid w:val="6C6B22DD"/>
    <w:multiLevelType w:val="hybridMultilevel"/>
    <w:tmpl w:val="41E666F4"/>
    <w:lvl w:ilvl="0" w:tplc="F27C31A0">
      <w:start w:val="226"/>
      <w:numFmt w:val="bullet"/>
      <w:lvlText w:val="-"/>
      <w:lvlJc w:val="left"/>
      <w:pPr>
        <w:ind w:left="360" w:hanging="360"/>
      </w:pPr>
      <w:rPr>
        <w:rFonts w:ascii="Times New Roman" w:eastAsia="Times New Roman" w:hAnsi="Times New Roman" w:cs="Times New Roman" w:hint="default"/>
      </w:rPr>
    </w:lvl>
    <w:lvl w:ilvl="1" w:tplc="0C090003">
      <w:start w:val="1"/>
      <w:numFmt w:val="bullet"/>
      <w:lvlText w:val="o"/>
      <w:lvlJc w:val="left"/>
      <w:pPr>
        <w:ind w:left="928"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74367D88"/>
    <w:multiLevelType w:val="hybridMultilevel"/>
    <w:tmpl w:val="0DBA0836"/>
    <w:lvl w:ilvl="0" w:tplc="A54E0AC8">
      <w:start w:val="226"/>
      <w:numFmt w:val="bullet"/>
      <w:lvlText w:val="-"/>
      <w:lvlJc w:val="left"/>
      <w:pPr>
        <w:ind w:left="360" w:hanging="360"/>
      </w:pPr>
      <w:rPr>
        <w:rFonts w:ascii="Times New Roman" w:eastAsia="Times New Roman" w:hAnsi="Times New Roman" w:hint="default"/>
      </w:rPr>
    </w:lvl>
    <w:lvl w:ilvl="1" w:tplc="0C090003">
      <w:start w:val="1"/>
      <w:numFmt w:val="bullet"/>
      <w:lvlText w:val="o"/>
      <w:lvlJc w:val="left"/>
      <w:pPr>
        <w:ind w:left="928" w:hanging="360"/>
      </w:pPr>
      <w:rPr>
        <w:rFonts w:ascii="Courier New" w:hAnsi="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3"/>
  </w:num>
  <w:num w:numId="2">
    <w:abstractNumId w:val="4"/>
  </w:num>
  <w:num w:numId="3">
    <w:abstractNumId w:val="6"/>
  </w:num>
  <w:num w:numId="4">
    <w:abstractNumId w:val="16"/>
  </w:num>
  <w:num w:numId="5">
    <w:abstractNumId w:val="17"/>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14"/>
  </w:num>
  <w:num w:numId="9">
    <w:abstractNumId w:val="1"/>
  </w:num>
  <w:num w:numId="10">
    <w:abstractNumId w:val="12"/>
  </w:num>
  <w:num w:numId="11">
    <w:abstractNumId w:val="11"/>
  </w:num>
  <w:num w:numId="12">
    <w:abstractNumId w:val="9"/>
  </w:num>
  <w:num w:numId="13">
    <w:abstractNumId w:val="0"/>
  </w:num>
  <w:num w:numId="14">
    <w:abstractNumId w:val="10"/>
  </w:num>
  <w:num w:numId="15">
    <w:abstractNumId w:val="8"/>
  </w:num>
  <w:num w:numId="16">
    <w:abstractNumId w:val="2"/>
  </w:num>
  <w:num w:numId="17">
    <w:abstractNumId w:val="5"/>
  </w:num>
  <w:num w:numId="18">
    <w:abstractNumId w:val="15"/>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footnotePr>
    <w:footnote w:id="0"/>
    <w:footnote w:id="1"/>
  </w:footnotePr>
  <w:endnotePr>
    <w:endnote w:id="0"/>
    <w:endnote w:id="1"/>
  </w:endnotePr>
  <w:compat/>
  <w:rsids>
    <w:rsidRoot w:val="005538F5"/>
    <w:rsid w:val="000A2821"/>
    <w:rsid w:val="000A2D2A"/>
    <w:rsid w:val="0012194C"/>
    <w:rsid w:val="001342ED"/>
    <w:rsid w:val="00183046"/>
    <w:rsid w:val="001E7F08"/>
    <w:rsid w:val="002710B1"/>
    <w:rsid w:val="002B4426"/>
    <w:rsid w:val="002F7143"/>
    <w:rsid w:val="00342F77"/>
    <w:rsid w:val="003B7F0D"/>
    <w:rsid w:val="00421D71"/>
    <w:rsid w:val="004728C8"/>
    <w:rsid w:val="00493DB8"/>
    <w:rsid w:val="004F1798"/>
    <w:rsid w:val="00503EFD"/>
    <w:rsid w:val="0054184B"/>
    <w:rsid w:val="005538F5"/>
    <w:rsid w:val="00612F61"/>
    <w:rsid w:val="00692CD5"/>
    <w:rsid w:val="007609B2"/>
    <w:rsid w:val="008D537C"/>
    <w:rsid w:val="0096484B"/>
    <w:rsid w:val="009928C4"/>
    <w:rsid w:val="009F529D"/>
    <w:rsid w:val="00A21DAC"/>
    <w:rsid w:val="00A52091"/>
    <w:rsid w:val="00A551B4"/>
    <w:rsid w:val="00B212D0"/>
    <w:rsid w:val="00B75202"/>
    <w:rsid w:val="00C45D54"/>
    <w:rsid w:val="00C77871"/>
    <w:rsid w:val="00C91D58"/>
    <w:rsid w:val="00D32170"/>
    <w:rsid w:val="00DC2D89"/>
    <w:rsid w:val="00E4330D"/>
    <w:rsid w:val="00ED48C9"/>
    <w:rsid w:val="00F253B4"/>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8F5"/>
    <w:pPr>
      <w:spacing w:after="0" w:line="240" w:lineRule="auto"/>
    </w:pPr>
    <w:rPr>
      <w:rFonts w:ascii="Calibri" w:hAnsi="Calibri" w:cs="Arial"/>
    </w:rPr>
  </w:style>
  <w:style w:type="paragraph" w:styleId="Heading1">
    <w:name w:val="heading 1"/>
    <w:basedOn w:val="Normal"/>
    <w:next w:val="Normal"/>
    <w:link w:val="Heading1Char"/>
    <w:uiPriority w:val="9"/>
    <w:qFormat/>
    <w:rsid w:val="005538F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5538F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8F5"/>
    <w:pPr>
      <w:ind w:left="720"/>
      <w:contextualSpacing/>
    </w:pPr>
  </w:style>
  <w:style w:type="paragraph" w:customStyle="1" w:styleId="Heading1a">
    <w:name w:val="Heading 1a"/>
    <w:basedOn w:val="Heading1"/>
    <w:next w:val="Normal"/>
    <w:qFormat/>
    <w:rsid w:val="005538F5"/>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jc w:val="center"/>
    </w:pPr>
    <w:rPr>
      <w:rFonts w:asciiTheme="minorHAnsi" w:hAnsiTheme="minorHAnsi"/>
      <w:smallCaps/>
      <w:color w:val="auto"/>
      <w:sz w:val="36"/>
    </w:rPr>
  </w:style>
  <w:style w:type="paragraph" w:customStyle="1" w:styleId="Heading2a">
    <w:name w:val="Heading 2a"/>
    <w:basedOn w:val="Heading2"/>
    <w:next w:val="Normal"/>
    <w:qFormat/>
    <w:rsid w:val="005538F5"/>
    <w:pPr>
      <w:numPr>
        <w:numId w:val="1"/>
      </w:numPr>
      <w:spacing w:before="0"/>
    </w:pPr>
    <w:rPr>
      <w:rFonts w:ascii="Calibri" w:hAnsi="Calibri"/>
      <w:color w:val="auto"/>
      <w:sz w:val="22"/>
      <w:u w:val="single"/>
    </w:rPr>
  </w:style>
  <w:style w:type="paragraph" w:customStyle="1" w:styleId="Heading2aa">
    <w:name w:val="Heading 2aa"/>
    <w:basedOn w:val="Heading2a"/>
    <w:next w:val="Normal"/>
    <w:qFormat/>
    <w:rsid w:val="005538F5"/>
    <w:pPr>
      <w:numPr>
        <w:ilvl w:val="1"/>
      </w:numPr>
      <w:ind w:left="360"/>
    </w:pPr>
  </w:style>
  <w:style w:type="paragraph" w:customStyle="1" w:styleId="Heading2aaa">
    <w:name w:val="Heading 2aaa"/>
    <w:basedOn w:val="Heading2aa"/>
    <w:next w:val="Normal"/>
    <w:qFormat/>
    <w:rsid w:val="005538F5"/>
    <w:pPr>
      <w:numPr>
        <w:ilvl w:val="2"/>
      </w:numPr>
      <w:ind w:left="1627"/>
    </w:pPr>
  </w:style>
  <w:style w:type="character" w:customStyle="1" w:styleId="Heading1Char">
    <w:name w:val="Heading 1 Char"/>
    <w:basedOn w:val="DefaultParagraphFont"/>
    <w:link w:val="Heading1"/>
    <w:uiPriority w:val="9"/>
    <w:rsid w:val="005538F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5538F5"/>
    <w:rPr>
      <w:rFonts w:asciiTheme="majorHAnsi" w:eastAsiaTheme="majorEastAsia" w:hAnsiTheme="majorHAnsi" w:cstheme="majorBidi"/>
      <w:b/>
      <w:bCs/>
      <w:color w:val="4F81BD" w:themeColor="accent1"/>
      <w:sz w:val="26"/>
      <w:szCs w:val="26"/>
    </w:rPr>
  </w:style>
  <w:style w:type="paragraph" w:styleId="BalloonText">
    <w:name w:val="Balloon Text"/>
    <w:basedOn w:val="Normal"/>
    <w:link w:val="BalloonTextChar"/>
    <w:uiPriority w:val="99"/>
    <w:semiHidden/>
    <w:unhideWhenUsed/>
    <w:rsid w:val="005538F5"/>
    <w:rPr>
      <w:rFonts w:ascii="Tahoma" w:hAnsi="Tahoma" w:cs="Tahoma"/>
      <w:sz w:val="16"/>
      <w:szCs w:val="16"/>
    </w:rPr>
  </w:style>
  <w:style w:type="character" w:customStyle="1" w:styleId="BalloonTextChar">
    <w:name w:val="Balloon Text Char"/>
    <w:basedOn w:val="DefaultParagraphFont"/>
    <w:link w:val="BalloonText"/>
    <w:uiPriority w:val="99"/>
    <w:semiHidden/>
    <w:rsid w:val="005538F5"/>
    <w:rPr>
      <w:rFonts w:ascii="Tahoma" w:hAnsi="Tahoma" w:cs="Tahoma"/>
      <w:sz w:val="16"/>
      <w:szCs w:val="16"/>
    </w:rPr>
  </w:style>
  <w:style w:type="paragraph" w:styleId="Header">
    <w:name w:val="header"/>
    <w:basedOn w:val="Normal"/>
    <w:link w:val="HeaderChar"/>
    <w:uiPriority w:val="99"/>
    <w:semiHidden/>
    <w:unhideWhenUsed/>
    <w:rsid w:val="005538F5"/>
    <w:pPr>
      <w:tabs>
        <w:tab w:val="center" w:pos="4513"/>
        <w:tab w:val="right" w:pos="9026"/>
      </w:tabs>
    </w:pPr>
  </w:style>
  <w:style w:type="character" w:customStyle="1" w:styleId="HeaderChar">
    <w:name w:val="Header Char"/>
    <w:basedOn w:val="DefaultParagraphFont"/>
    <w:link w:val="Header"/>
    <w:uiPriority w:val="99"/>
    <w:semiHidden/>
    <w:rsid w:val="005538F5"/>
    <w:rPr>
      <w:rFonts w:ascii="Calibri" w:hAnsi="Calibri" w:cs="Arial"/>
    </w:rPr>
  </w:style>
  <w:style w:type="paragraph" w:styleId="Footer">
    <w:name w:val="footer"/>
    <w:basedOn w:val="Normal"/>
    <w:link w:val="FooterChar"/>
    <w:uiPriority w:val="99"/>
    <w:unhideWhenUsed/>
    <w:rsid w:val="005538F5"/>
    <w:pPr>
      <w:tabs>
        <w:tab w:val="center" w:pos="4513"/>
        <w:tab w:val="right" w:pos="9026"/>
      </w:tabs>
    </w:pPr>
  </w:style>
  <w:style w:type="character" w:customStyle="1" w:styleId="FooterChar">
    <w:name w:val="Footer Char"/>
    <w:basedOn w:val="DefaultParagraphFont"/>
    <w:link w:val="Footer"/>
    <w:uiPriority w:val="99"/>
    <w:rsid w:val="005538F5"/>
    <w:rPr>
      <w:rFonts w:ascii="Calibri" w:hAnsi="Calibri" w:cs="Arial"/>
    </w:rPr>
  </w:style>
</w:styles>
</file>

<file path=word/webSettings.xml><?xml version="1.0" encoding="utf-8"?>
<w:webSettings xmlns:r="http://schemas.openxmlformats.org/officeDocument/2006/relationships" xmlns:w="http://schemas.openxmlformats.org/wordprocessingml/2006/main">
  <w:divs>
    <w:div w:id="198901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diagramColors" Target="diagrams/colors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webSettings" Target="web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F2D2F84-5C3B-4BC3-A716-168A40F5DF54}" type="doc">
      <dgm:prSet loTypeId="urn:microsoft.com/office/officeart/2005/8/layout/radial1" loCatId="relationship" qsTypeId="urn:microsoft.com/office/officeart/2005/8/quickstyle/simple1" qsCatId="simple" csTypeId="urn:microsoft.com/office/officeart/2005/8/colors/accent1_2" csCatId="accent1" phldr="1"/>
      <dgm:spPr/>
    </dgm:pt>
    <dgm:pt modelId="{C37940CD-E7FF-484C-82E0-DA65536B9C33}">
      <dgm:prSet/>
      <dgm:spPr>
        <a:solidFill>
          <a:schemeClr val="accent1">
            <a:lumMod val="40000"/>
            <a:lumOff val="60000"/>
          </a:schemeClr>
        </a:solidFill>
      </dgm:spPr>
      <dgm:t>
        <a:bodyPr/>
        <a:lstStyle/>
        <a:p>
          <a:pPr marR="0" algn="ctr" rtl="0"/>
          <a:r>
            <a:rPr lang="en-US" b="1" baseline="0" smtClean="0">
              <a:solidFill>
                <a:srgbClr val="000000"/>
              </a:solidFill>
              <a:latin typeface="Arial"/>
            </a:rPr>
            <a:t> HQCC receives </a:t>
          </a:r>
        </a:p>
        <a:p>
          <a:pPr marR="0" algn="ctr" rtl="0"/>
          <a:r>
            <a:rPr lang="en-US" b="1" baseline="0" smtClean="0">
              <a:solidFill>
                <a:srgbClr val="000000"/>
              </a:solidFill>
              <a:latin typeface="Arial"/>
            </a:rPr>
            <a:t>complaint </a:t>
          </a:r>
          <a:endParaRPr lang="en-AU" smtClean="0"/>
        </a:p>
      </dgm:t>
    </dgm:pt>
    <dgm:pt modelId="{B8DCB245-8F94-4C70-A4AA-FF837D4B977E}" type="parTrans" cxnId="{21974C2E-0993-471E-9A65-69C15FE7142E}">
      <dgm:prSet/>
      <dgm:spPr/>
      <dgm:t>
        <a:bodyPr/>
        <a:lstStyle/>
        <a:p>
          <a:endParaRPr lang="en-AU"/>
        </a:p>
      </dgm:t>
    </dgm:pt>
    <dgm:pt modelId="{8E727B08-F572-4EDF-8D10-26DD74D3A04B}" type="sibTrans" cxnId="{21974C2E-0993-471E-9A65-69C15FE7142E}">
      <dgm:prSet/>
      <dgm:spPr/>
      <dgm:t>
        <a:bodyPr/>
        <a:lstStyle/>
        <a:p>
          <a:endParaRPr lang="en-AU"/>
        </a:p>
      </dgm:t>
    </dgm:pt>
    <dgm:pt modelId="{8D4E1F12-ED7A-40B5-9996-87370A2BDE10}">
      <dgm:prSet/>
      <dgm:spPr>
        <a:solidFill>
          <a:schemeClr val="accent1">
            <a:lumMod val="40000"/>
            <a:lumOff val="60000"/>
          </a:schemeClr>
        </a:solidFill>
      </dgm:spPr>
      <dgm:t>
        <a:bodyPr/>
        <a:lstStyle/>
        <a:p>
          <a:pPr marR="0" algn="ctr" rtl="0"/>
          <a:r>
            <a:rPr lang="en-US" b="1" baseline="0" smtClean="0">
              <a:solidFill>
                <a:srgbClr val="000000"/>
              </a:solidFill>
              <a:latin typeface="Arial"/>
            </a:rPr>
            <a:t> Refer to another </a:t>
          </a:r>
        </a:p>
        <a:p>
          <a:pPr marR="0" algn="ctr" rtl="0"/>
          <a:r>
            <a:rPr lang="en-US" b="1" baseline="0" smtClean="0">
              <a:solidFill>
                <a:srgbClr val="000000"/>
              </a:solidFill>
              <a:latin typeface="Arial"/>
            </a:rPr>
            <a:t>Entity </a:t>
          </a:r>
        </a:p>
        <a:p>
          <a:pPr marR="0" algn="ctr" rtl="0"/>
          <a:r>
            <a:rPr lang="en-US" baseline="0" smtClean="0">
              <a:solidFill>
                <a:srgbClr val="000000"/>
              </a:solidFill>
              <a:latin typeface="Arial"/>
            </a:rPr>
            <a:t>(e.g. s50(2)(c) </a:t>
          </a:r>
        </a:p>
        <a:p>
          <a:pPr marR="0" algn="ctr" rtl="0"/>
          <a:r>
            <a:rPr lang="en-US" baseline="0" smtClean="0">
              <a:solidFill>
                <a:srgbClr val="000000"/>
              </a:solidFill>
              <a:latin typeface="Arial"/>
            </a:rPr>
            <a:t>s61(2)(d)) </a:t>
          </a:r>
          <a:endParaRPr lang="en-AU" smtClean="0"/>
        </a:p>
      </dgm:t>
    </dgm:pt>
    <dgm:pt modelId="{B448CAE2-A0EA-481B-8BFE-AE0082300E73}" type="parTrans" cxnId="{3970E5F9-6425-4925-8D6B-C89D4C14470F}">
      <dgm:prSet/>
      <dgm:spPr/>
      <dgm:t>
        <a:bodyPr/>
        <a:lstStyle/>
        <a:p>
          <a:endParaRPr lang="en-AU"/>
        </a:p>
      </dgm:t>
    </dgm:pt>
    <dgm:pt modelId="{F2CDF480-7A5C-4FEA-AEB2-5806E1A17B84}" type="sibTrans" cxnId="{3970E5F9-6425-4925-8D6B-C89D4C14470F}">
      <dgm:prSet/>
      <dgm:spPr/>
      <dgm:t>
        <a:bodyPr/>
        <a:lstStyle/>
        <a:p>
          <a:endParaRPr lang="en-AU"/>
        </a:p>
      </dgm:t>
    </dgm:pt>
    <dgm:pt modelId="{AB196A9A-479A-4947-B0E2-BF090B3A33CA}">
      <dgm:prSet/>
      <dgm:spPr>
        <a:solidFill>
          <a:schemeClr val="accent1">
            <a:lumMod val="40000"/>
            <a:lumOff val="60000"/>
          </a:schemeClr>
        </a:solidFill>
      </dgm:spPr>
      <dgm:t>
        <a:bodyPr/>
        <a:lstStyle/>
        <a:p>
          <a:pPr marR="0" algn="ctr" rtl="0"/>
          <a:r>
            <a:rPr lang="en-US" b="1" baseline="0" smtClean="0">
              <a:solidFill>
                <a:srgbClr val="000000"/>
              </a:solidFill>
              <a:latin typeface="Arial"/>
            </a:rPr>
            <a:t>Refer to Board </a:t>
          </a:r>
        </a:p>
        <a:p>
          <a:pPr marR="0" algn="ctr" rtl="0"/>
          <a:r>
            <a:rPr lang="en-US" baseline="0" smtClean="0">
              <a:solidFill>
                <a:srgbClr val="000000"/>
              </a:solidFill>
              <a:latin typeface="Arial"/>
            </a:rPr>
            <a:t>(e.g. s50(2)(b);</a:t>
          </a:r>
        </a:p>
        <a:p>
          <a:pPr marR="0" algn="ctr" rtl="0"/>
          <a:r>
            <a:rPr lang="en-US" baseline="0" smtClean="0">
              <a:solidFill>
                <a:srgbClr val="000000"/>
              </a:solidFill>
              <a:latin typeface="Arial"/>
            </a:rPr>
            <a:t>s61(2)(c))</a:t>
          </a:r>
          <a:endParaRPr lang="en-AU" smtClean="0"/>
        </a:p>
      </dgm:t>
    </dgm:pt>
    <dgm:pt modelId="{630AD566-52BB-4B9F-B9C5-7B9C6CE9BA49}" type="parTrans" cxnId="{69CB1D6B-7701-4C68-B380-C7E0565F9509}">
      <dgm:prSet/>
      <dgm:spPr/>
      <dgm:t>
        <a:bodyPr/>
        <a:lstStyle/>
        <a:p>
          <a:endParaRPr lang="en-AU"/>
        </a:p>
      </dgm:t>
    </dgm:pt>
    <dgm:pt modelId="{F50F16E1-E6D5-432E-8DCA-165B458F3BE6}" type="sibTrans" cxnId="{69CB1D6B-7701-4C68-B380-C7E0565F9509}">
      <dgm:prSet/>
      <dgm:spPr/>
      <dgm:t>
        <a:bodyPr/>
        <a:lstStyle/>
        <a:p>
          <a:endParaRPr lang="en-AU"/>
        </a:p>
      </dgm:t>
    </dgm:pt>
    <dgm:pt modelId="{BADE1C15-3698-4C37-84CD-2B055F8BD3F3}">
      <dgm:prSet/>
      <dgm:spPr>
        <a:solidFill>
          <a:schemeClr val="accent1">
            <a:lumMod val="40000"/>
            <a:lumOff val="60000"/>
          </a:schemeClr>
        </a:solidFill>
      </dgm:spPr>
      <dgm:t>
        <a:bodyPr/>
        <a:lstStyle/>
        <a:p>
          <a:pPr marR="0" algn="ctr" rtl="0"/>
          <a:r>
            <a:rPr lang="en-US" b="1" baseline="0" smtClean="0">
              <a:solidFill>
                <a:srgbClr val="000000"/>
              </a:solidFill>
              <a:latin typeface="Arial"/>
            </a:rPr>
            <a:t>Take no action </a:t>
          </a:r>
        </a:p>
        <a:p>
          <a:pPr marR="0" algn="ctr" rtl="0"/>
          <a:r>
            <a:rPr lang="en-US" baseline="0" smtClean="0">
              <a:solidFill>
                <a:srgbClr val="000000"/>
              </a:solidFill>
              <a:latin typeface="Arial"/>
            </a:rPr>
            <a:t>(e.g. s50(3); Ch 5,</a:t>
          </a:r>
        </a:p>
        <a:p>
          <a:pPr marR="0" algn="ctr" rtl="0"/>
          <a:r>
            <a:rPr lang="en-US" baseline="0" smtClean="0">
              <a:solidFill>
                <a:srgbClr val="000000"/>
              </a:solidFill>
              <a:latin typeface="Arial"/>
            </a:rPr>
            <a:t>Pt 4, Div 4)</a:t>
          </a:r>
          <a:endParaRPr lang="en-AU" smtClean="0"/>
        </a:p>
      </dgm:t>
    </dgm:pt>
    <dgm:pt modelId="{E42B60BF-179E-463E-B431-7ED8FD3E1A45}" type="parTrans" cxnId="{C00766DE-468C-4F3E-887F-D40C8F731C2C}">
      <dgm:prSet/>
      <dgm:spPr/>
      <dgm:t>
        <a:bodyPr/>
        <a:lstStyle/>
        <a:p>
          <a:endParaRPr lang="en-AU"/>
        </a:p>
      </dgm:t>
    </dgm:pt>
    <dgm:pt modelId="{07B9FBB2-E909-4BA8-8910-3DA7E5FBB250}" type="sibTrans" cxnId="{C00766DE-468C-4F3E-887F-D40C8F731C2C}">
      <dgm:prSet/>
      <dgm:spPr/>
      <dgm:t>
        <a:bodyPr/>
        <a:lstStyle/>
        <a:p>
          <a:endParaRPr lang="en-AU"/>
        </a:p>
      </dgm:t>
    </dgm:pt>
    <dgm:pt modelId="{62B79412-EE37-44AE-8BE4-65FA273FAFED}">
      <dgm:prSet/>
      <dgm:spPr>
        <a:solidFill>
          <a:schemeClr val="accent1">
            <a:lumMod val="40000"/>
            <a:lumOff val="60000"/>
          </a:schemeClr>
        </a:solidFill>
      </dgm:spPr>
      <dgm:t>
        <a:bodyPr/>
        <a:lstStyle/>
        <a:p>
          <a:pPr marR="0" algn="ctr" rtl="0"/>
          <a:r>
            <a:rPr lang="en-US" b="1" baseline="0" smtClean="0">
              <a:solidFill>
                <a:srgbClr val="000000"/>
              </a:solidFill>
              <a:latin typeface="Arial"/>
            </a:rPr>
            <a:t>Conciliate</a:t>
          </a:r>
        </a:p>
        <a:p>
          <a:pPr marR="0" algn="ctr" rtl="0"/>
          <a:r>
            <a:rPr lang="en-US" b="1" baseline="0" smtClean="0">
              <a:solidFill>
                <a:srgbClr val="000000"/>
              </a:solidFill>
              <a:latin typeface="Arial"/>
            </a:rPr>
            <a:t>Chapter 6</a:t>
          </a:r>
        </a:p>
        <a:p>
          <a:pPr marR="0" algn="ctr" rtl="0"/>
          <a:r>
            <a:rPr lang="en-US" baseline="0" smtClean="0">
              <a:solidFill>
                <a:srgbClr val="000000"/>
              </a:solidFill>
              <a:latin typeface="Arial"/>
            </a:rPr>
            <a:t>(e.g. s61(2)(a))</a:t>
          </a:r>
          <a:endParaRPr lang="en-AU" smtClean="0"/>
        </a:p>
      </dgm:t>
    </dgm:pt>
    <dgm:pt modelId="{4B2C6577-82DF-4AC2-8F8C-C929678F6EDD}" type="parTrans" cxnId="{EF4D4400-38A4-4183-A3E5-45119DF71B11}">
      <dgm:prSet/>
      <dgm:spPr/>
      <dgm:t>
        <a:bodyPr/>
        <a:lstStyle/>
        <a:p>
          <a:endParaRPr lang="en-AU"/>
        </a:p>
      </dgm:t>
    </dgm:pt>
    <dgm:pt modelId="{8FC09536-E5FE-4893-9EE4-14A2ABC7B31E}" type="sibTrans" cxnId="{EF4D4400-38A4-4183-A3E5-45119DF71B11}">
      <dgm:prSet/>
      <dgm:spPr/>
      <dgm:t>
        <a:bodyPr/>
        <a:lstStyle/>
        <a:p>
          <a:endParaRPr lang="en-AU"/>
        </a:p>
      </dgm:t>
    </dgm:pt>
    <dgm:pt modelId="{8CE33A02-13C2-4C1B-998A-8EB7FE004694}">
      <dgm:prSet/>
      <dgm:spPr>
        <a:solidFill>
          <a:schemeClr val="accent1">
            <a:lumMod val="40000"/>
            <a:lumOff val="60000"/>
          </a:schemeClr>
        </a:solidFill>
      </dgm:spPr>
      <dgm:t>
        <a:bodyPr/>
        <a:lstStyle/>
        <a:p>
          <a:pPr marR="0" algn="ctr" rtl="0"/>
          <a:r>
            <a:rPr lang="en-US" b="1" baseline="0" smtClean="0">
              <a:solidFill>
                <a:srgbClr val="000000"/>
              </a:solidFill>
              <a:latin typeface="Arial"/>
            </a:rPr>
            <a:t>Inquire </a:t>
          </a:r>
        </a:p>
        <a:p>
          <a:pPr marR="0" algn="ctr" rtl="0"/>
          <a:r>
            <a:rPr lang="en-US" b="1" baseline="0" smtClean="0">
              <a:solidFill>
                <a:srgbClr val="000000"/>
              </a:solidFill>
              <a:latin typeface="Arial"/>
            </a:rPr>
            <a:t>Chapter 8</a:t>
          </a:r>
        </a:p>
        <a:p>
          <a:pPr marR="0" algn="ctr" rtl="0"/>
          <a:r>
            <a:rPr lang="en-US" baseline="0" smtClean="0">
              <a:solidFill>
                <a:srgbClr val="000000"/>
              </a:solidFill>
              <a:latin typeface="Arial"/>
            </a:rPr>
            <a:t>(e.g. s50(2)(e))</a:t>
          </a:r>
          <a:endParaRPr lang="en-AU" smtClean="0"/>
        </a:p>
      </dgm:t>
    </dgm:pt>
    <dgm:pt modelId="{C5BBB377-FB46-4B19-8934-8540E37602A6}" type="parTrans" cxnId="{002A06D0-38C0-47C6-87DA-1404D435AA86}">
      <dgm:prSet/>
      <dgm:spPr/>
      <dgm:t>
        <a:bodyPr/>
        <a:lstStyle/>
        <a:p>
          <a:endParaRPr lang="en-AU"/>
        </a:p>
      </dgm:t>
    </dgm:pt>
    <dgm:pt modelId="{D59A6EEE-8F74-482F-8056-596D594F6A50}" type="sibTrans" cxnId="{002A06D0-38C0-47C6-87DA-1404D435AA86}">
      <dgm:prSet/>
      <dgm:spPr/>
      <dgm:t>
        <a:bodyPr/>
        <a:lstStyle/>
        <a:p>
          <a:endParaRPr lang="en-AU"/>
        </a:p>
      </dgm:t>
    </dgm:pt>
    <dgm:pt modelId="{77CFF1D8-5A07-423D-A344-A32999EFD02A}">
      <dgm:prSet/>
      <dgm:spPr>
        <a:solidFill>
          <a:schemeClr val="accent1">
            <a:lumMod val="40000"/>
            <a:lumOff val="60000"/>
          </a:schemeClr>
        </a:solidFill>
      </dgm:spPr>
      <dgm:t>
        <a:bodyPr/>
        <a:lstStyle/>
        <a:p>
          <a:pPr marR="0" algn="ctr" rtl="0"/>
          <a:r>
            <a:rPr lang="en-US" b="1" baseline="0" smtClean="0">
              <a:solidFill>
                <a:srgbClr val="000000"/>
              </a:solidFill>
              <a:latin typeface="Arial"/>
            </a:rPr>
            <a:t>Investigate</a:t>
          </a:r>
        </a:p>
        <a:p>
          <a:pPr marR="0" algn="ctr" rtl="0"/>
          <a:r>
            <a:rPr lang="en-US" b="1" baseline="0" smtClean="0">
              <a:solidFill>
                <a:srgbClr val="000000"/>
              </a:solidFill>
              <a:latin typeface="Arial"/>
            </a:rPr>
            <a:t>Chapter 7</a:t>
          </a:r>
        </a:p>
        <a:p>
          <a:pPr marR="0" algn="ctr" rtl="0"/>
          <a:r>
            <a:rPr lang="en-US" baseline="0" smtClean="0">
              <a:solidFill>
                <a:srgbClr val="000000"/>
              </a:solidFill>
              <a:latin typeface="Arial"/>
            </a:rPr>
            <a:t>(e.g. s50(2)(d); </a:t>
          </a:r>
        </a:p>
        <a:p>
          <a:pPr marR="0" algn="ctr" rtl="0"/>
          <a:r>
            <a:rPr lang="en-US" baseline="0" smtClean="0">
              <a:solidFill>
                <a:srgbClr val="000000"/>
              </a:solidFill>
              <a:latin typeface="Arial"/>
            </a:rPr>
            <a:t>s61(2)(b))</a:t>
          </a:r>
          <a:endParaRPr lang="en-AU" smtClean="0"/>
        </a:p>
      </dgm:t>
    </dgm:pt>
    <dgm:pt modelId="{9CA91C0E-06E1-4985-8E1F-490B451FE465}" type="parTrans" cxnId="{6A1F1502-6285-409F-81BD-2B15FAB3E155}">
      <dgm:prSet/>
      <dgm:spPr/>
      <dgm:t>
        <a:bodyPr/>
        <a:lstStyle/>
        <a:p>
          <a:endParaRPr lang="en-AU"/>
        </a:p>
      </dgm:t>
    </dgm:pt>
    <dgm:pt modelId="{13AC3C5C-46A4-4A98-9B24-BDB9B2A4BACB}" type="sibTrans" cxnId="{6A1F1502-6285-409F-81BD-2B15FAB3E155}">
      <dgm:prSet/>
      <dgm:spPr/>
      <dgm:t>
        <a:bodyPr/>
        <a:lstStyle/>
        <a:p>
          <a:endParaRPr lang="en-AU"/>
        </a:p>
      </dgm:t>
    </dgm:pt>
    <dgm:pt modelId="{204604FA-0B3F-4919-BDF2-746D687E1C32}" type="pres">
      <dgm:prSet presAssocID="{AF2D2F84-5C3B-4BC3-A716-168A40F5DF54}" presName="cycle" presStyleCnt="0">
        <dgm:presLayoutVars>
          <dgm:chMax val="1"/>
          <dgm:dir/>
          <dgm:animLvl val="ctr"/>
          <dgm:resizeHandles val="exact"/>
        </dgm:presLayoutVars>
      </dgm:prSet>
      <dgm:spPr/>
    </dgm:pt>
    <dgm:pt modelId="{317FDF0C-9BA5-4CCF-8317-576669D3E0B5}" type="pres">
      <dgm:prSet presAssocID="{C37940CD-E7FF-484C-82E0-DA65536B9C33}" presName="centerShape" presStyleLbl="node0" presStyleIdx="0" presStyleCnt="1"/>
      <dgm:spPr/>
    </dgm:pt>
    <dgm:pt modelId="{76407EE8-EA39-413A-A744-646352207DA1}" type="pres">
      <dgm:prSet presAssocID="{B448CAE2-A0EA-481B-8BFE-AE0082300E73}" presName="Name9" presStyleLbl="parChTrans1D2" presStyleIdx="0" presStyleCnt="6"/>
      <dgm:spPr/>
    </dgm:pt>
    <dgm:pt modelId="{2A73D6B1-4CF5-4BFA-9962-D1348E02B920}" type="pres">
      <dgm:prSet presAssocID="{B448CAE2-A0EA-481B-8BFE-AE0082300E73}" presName="connTx" presStyleLbl="parChTrans1D2" presStyleIdx="0" presStyleCnt="6"/>
      <dgm:spPr/>
    </dgm:pt>
    <dgm:pt modelId="{DC8A0CB5-8B46-4020-9A6F-3FAAE9276DE1}" type="pres">
      <dgm:prSet presAssocID="{8D4E1F12-ED7A-40B5-9996-87370A2BDE10}" presName="node" presStyleLbl="node1" presStyleIdx="0" presStyleCnt="6" custRadScaleRad="101099" custRadScaleInc="-4481">
        <dgm:presLayoutVars>
          <dgm:bulletEnabled val="1"/>
        </dgm:presLayoutVars>
      </dgm:prSet>
      <dgm:spPr/>
    </dgm:pt>
    <dgm:pt modelId="{C0E4A4B1-CD1F-4C32-871D-F17788804FE4}" type="pres">
      <dgm:prSet presAssocID="{630AD566-52BB-4B9F-B9C5-7B9C6CE9BA49}" presName="Name9" presStyleLbl="parChTrans1D2" presStyleIdx="1" presStyleCnt="6"/>
      <dgm:spPr/>
    </dgm:pt>
    <dgm:pt modelId="{EB35F84E-FFDB-41FE-A7CD-F092D028658E}" type="pres">
      <dgm:prSet presAssocID="{630AD566-52BB-4B9F-B9C5-7B9C6CE9BA49}" presName="connTx" presStyleLbl="parChTrans1D2" presStyleIdx="1" presStyleCnt="6"/>
      <dgm:spPr/>
    </dgm:pt>
    <dgm:pt modelId="{425A87D2-BD44-462D-80E0-6B0B5487B499}" type="pres">
      <dgm:prSet presAssocID="{AB196A9A-479A-4947-B0E2-BF090B3A33CA}" presName="node" presStyleLbl="node1" presStyleIdx="1" presStyleCnt="6">
        <dgm:presLayoutVars>
          <dgm:bulletEnabled val="1"/>
        </dgm:presLayoutVars>
      </dgm:prSet>
      <dgm:spPr/>
    </dgm:pt>
    <dgm:pt modelId="{2F5C348D-15F8-4467-9BF3-5DFFBDE3D6EC}" type="pres">
      <dgm:prSet presAssocID="{E42B60BF-179E-463E-B431-7ED8FD3E1A45}" presName="Name9" presStyleLbl="parChTrans1D2" presStyleIdx="2" presStyleCnt="6"/>
      <dgm:spPr/>
    </dgm:pt>
    <dgm:pt modelId="{EE35B813-C6E7-4D6C-BAC6-7D0765110490}" type="pres">
      <dgm:prSet presAssocID="{E42B60BF-179E-463E-B431-7ED8FD3E1A45}" presName="connTx" presStyleLbl="parChTrans1D2" presStyleIdx="2" presStyleCnt="6"/>
      <dgm:spPr/>
    </dgm:pt>
    <dgm:pt modelId="{A8B28BE6-94F7-472D-9AE9-CB9F8BADF1EF}" type="pres">
      <dgm:prSet presAssocID="{BADE1C15-3698-4C37-84CD-2B055F8BD3F3}" presName="node" presStyleLbl="node1" presStyleIdx="2" presStyleCnt="6">
        <dgm:presLayoutVars>
          <dgm:bulletEnabled val="1"/>
        </dgm:presLayoutVars>
      </dgm:prSet>
      <dgm:spPr/>
    </dgm:pt>
    <dgm:pt modelId="{4CE04518-B13A-4DBE-832E-9529F5837354}" type="pres">
      <dgm:prSet presAssocID="{4B2C6577-82DF-4AC2-8F8C-C929678F6EDD}" presName="Name9" presStyleLbl="parChTrans1D2" presStyleIdx="3" presStyleCnt="6"/>
      <dgm:spPr/>
    </dgm:pt>
    <dgm:pt modelId="{2191DD46-71BB-424D-A88A-C8ECCCA2800E}" type="pres">
      <dgm:prSet presAssocID="{4B2C6577-82DF-4AC2-8F8C-C929678F6EDD}" presName="connTx" presStyleLbl="parChTrans1D2" presStyleIdx="3" presStyleCnt="6"/>
      <dgm:spPr/>
    </dgm:pt>
    <dgm:pt modelId="{3842C3AC-072A-4417-98E9-D574DD91F9DF}" type="pres">
      <dgm:prSet presAssocID="{62B79412-EE37-44AE-8BE4-65FA273FAFED}" presName="node" presStyleLbl="node1" presStyleIdx="3" presStyleCnt="6">
        <dgm:presLayoutVars>
          <dgm:bulletEnabled val="1"/>
        </dgm:presLayoutVars>
      </dgm:prSet>
      <dgm:spPr/>
    </dgm:pt>
    <dgm:pt modelId="{2A81411C-6582-4135-8807-866350D3E731}" type="pres">
      <dgm:prSet presAssocID="{C5BBB377-FB46-4B19-8934-8540E37602A6}" presName="Name9" presStyleLbl="parChTrans1D2" presStyleIdx="4" presStyleCnt="6"/>
      <dgm:spPr/>
    </dgm:pt>
    <dgm:pt modelId="{0EB30B6A-146A-4662-B45A-F3CF14267B74}" type="pres">
      <dgm:prSet presAssocID="{C5BBB377-FB46-4B19-8934-8540E37602A6}" presName="connTx" presStyleLbl="parChTrans1D2" presStyleIdx="4" presStyleCnt="6"/>
      <dgm:spPr/>
    </dgm:pt>
    <dgm:pt modelId="{6DF2ADC9-34EA-4C7B-A46C-06418B3CA24A}" type="pres">
      <dgm:prSet presAssocID="{8CE33A02-13C2-4C1B-998A-8EB7FE004694}" presName="node" presStyleLbl="node1" presStyleIdx="4" presStyleCnt="6">
        <dgm:presLayoutVars>
          <dgm:bulletEnabled val="1"/>
        </dgm:presLayoutVars>
      </dgm:prSet>
      <dgm:spPr/>
    </dgm:pt>
    <dgm:pt modelId="{BD7A428E-8B52-49C2-8A54-72C3027CA302}" type="pres">
      <dgm:prSet presAssocID="{9CA91C0E-06E1-4985-8E1F-490B451FE465}" presName="Name9" presStyleLbl="parChTrans1D2" presStyleIdx="5" presStyleCnt="6"/>
      <dgm:spPr/>
    </dgm:pt>
    <dgm:pt modelId="{F67A1042-2722-4638-8999-C914021B7862}" type="pres">
      <dgm:prSet presAssocID="{9CA91C0E-06E1-4985-8E1F-490B451FE465}" presName="connTx" presStyleLbl="parChTrans1D2" presStyleIdx="5" presStyleCnt="6"/>
      <dgm:spPr/>
    </dgm:pt>
    <dgm:pt modelId="{700828C1-24FE-4E95-8FF3-69CB0A7364CB}" type="pres">
      <dgm:prSet presAssocID="{77CFF1D8-5A07-423D-A344-A32999EFD02A}" presName="node" presStyleLbl="node1" presStyleIdx="5" presStyleCnt="6">
        <dgm:presLayoutVars>
          <dgm:bulletEnabled val="1"/>
        </dgm:presLayoutVars>
      </dgm:prSet>
      <dgm:spPr/>
    </dgm:pt>
  </dgm:ptLst>
  <dgm:cxnLst>
    <dgm:cxn modelId="{036BD701-44D5-48CD-9A92-383EDA849276}" type="presOf" srcId="{AB196A9A-479A-4947-B0E2-BF090B3A33CA}" destId="{425A87D2-BD44-462D-80E0-6B0B5487B499}" srcOrd="0" destOrd="0" presId="urn:microsoft.com/office/officeart/2005/8/layout/radial1"/>
    <dgm:cxn modelId="{6A1F1502-6285-409F-81BD-2B15FAB3E155}" srcId="{C37940CD-E7FF-484C-82E0-DA65536B9C33}" destId="{77CFF1D8-5A07-423D-A344-A32999EFD02A}" srcOrd="5" destOrd="0" parTransId="{9CA91C0E-06E1-4985-8E1F-490B451FE465}" sibTransId="{13AC3C5C-46A4-4A98-9B24-BDB9B2A4BACB}"/>
    <dgm:cxn modelId="{69CB1D6B-7701-4C68-B380-C7E0565F9509}" srcId="{C37940CD-E7FF-484C-82E0-DA65536B9C33}" destId="{AB196A9A-479A-4947-B0E2-BF090B3A33CA}" srcOrd="1" destOrd="0" parTransId="{630AD566-52BB-4B9F-B9C5-7B9C6CE9BA49}" sibTransId="{F50F16E1-E6D5-432E-8DCA-165B458F3BE6}"/>
    <dgm:cxn modelId="{015ECE1F-5986-4D69-A3CC-233D1F3AE669}" type="presOf" srcId="{630AD566-52BB-4B9F-B9C5-7B9C6CE9BA49}" destId="{C0E4A4B1-CD1F-4C32-871D-F17788804FE4}" srcOrd="0" destOrd="0" presId="urn:microsoft.com/office/officeart/2005/8/layout/radial1"/>
    <dgm:cxn modelId="{FE23DF28-A61F-4048-8087-F940D37D6501}" type="presOf" srcId="{4B2C6577-82DF-4AC2-8F8C-C929678F6EDD}" destId="{4CE04518-B13A-4DBE-832E-9529F5837354}" srcOrd="0" destOrd="0" presId="urn:microsoft.com/office/officeart/2005/8/layout/radial1"/>
    <dgm:cxn modelId="{CEB3F307-1BEB-4118-A032-9974B6329286}" type="presOf" srcId="{C5BBB377-FB46-4B19-8934-8540E37602A6}" destId="{2A81411C-6582-4135-8807-866350D3E731}" srcOrd="0" destOrd="0" presId="urn:microsoft.com/office/officeart/2005/8/layout/radial1"/>
    <dgm:cxn modelId="{73FE805F-76F0-40C2-B852-B4909BE2A564}" type="presOf" srcId="{C37940CD-E7FF-484C-82E0-DA65536B9C33}" destId="{317FDF0C-9BA5-4CCF-8317-576669D3E0B5}" srcOrd="0" destOrd="0" presId="urn:microsoft.com/office/officeart/2005/8/layout/radial1"/>
    <dgm:cxn modelId="{D87F6B6D-17EA-4095-87BE-62D467559D80}" type="presOf" srcId="{E42B60BF-179E-463E-B431-7ED8FD3E1A45}" destId="{2F5C348D-15F8-4467-9BF3-5DFFBDE3D6EC}" srcOrd="0" destOrd="0" presId="urn:microsoft.com/office/officeart/2005/8/layout/radial1"/>
    <dgm:cxn modelId="{D0ABDC3C-D718-411A-A9A0-787A7108A916}" type="presOf" srcId="{B448CAE2-A0EA-481B-8BFE-AE0082300E73}" destId="{2A73D6B1-4CF5-4BFA-9962-D1348E02B920}" srcOrd="1" destOrd="0" presId="urn:microsoft.com/office/officeart/2005/8/layout/radial1"/>
    <dgm:cxn modelId="{002A06D0-38C0-47C6-87DA-1404D435AA86}" srcId="{C37940CD-E7FF-484C-82E0-DA65536B9C33}" destId="{8CE33A02-13C2-4C1B-998A-8EB7FE004694}" srcOrd="4" destOrd="0" parTransId="{C5BBB377-FB46-4B19-8934-8540E37602A6}" sibTransId="{D59A6EEE-8F74-482F-8056-596D594F6A50}"/>
    <dgm:cxn modelId="{4ED57DDA-72F6-46AA-9FAB-EBCE41A63CCC}" type="presOf" srcId="{77CFF1D8-5A07-423D-A344-A32999EFD02A}" destId="{700828C1-24FE-4E95-8FF3-69CB0A7364CB}" srcOrd="0" destOrd="0" presId="urn:microsoft.com/office/officeart/2005/8/layout/radial1"/>
    <dgm:cxn modelId="{2E86E69E-3566-4A17-AFFD-5A5ACACAC13A}" type="presOf" srcId="{AF2D2F84-5C3B-4BC3-A716-168A40F5DF54}" destId="{204604FA-0B3F-4919-BDF2-746D687E1C32}" srcOrd="0" destOrd="0" presId="urn:microsoft.com/office/officeart/2005/8/layout/radial1"/>
    <dgm:cxn modelId="{883FFFF8-EC15-4DA6-B57B-A1EF6E43EB96}" type="presOf" srcId="{9CA91C0E-06E1-4985-8E1F-490B451FE465}" destId="{BD7A428E-8B52-49C2-8A54-72C3027CA302}" srcOrd="0" destOrd="0" presId="urn:microsoft.com/office/officeart/2005/8/layout/radial1"/>
    <dgm:cxn modelId="{D7BC1E0B-EC9B-4B55-9F7E-338560A520F1}" type="presOf" srcId="{E42B60BF-179E-463E-B431-7ED8FD3E1A45}" destId="{EE35B813-C6E7-4D6C-BAC6-7D0765110490}" srcOrd="1" destOrd="0" presId="urn:microsoft.com/office/officeart/2005/8/layout/radial1"/>
    <dgm:cxn modelId="{84E2D31B-2F62-413D-BDA7-F76CCB0ACEE4}" type="presOf" srcId="{B448CAE2-A0EA-481B-8BFE-AE0082300E73}" destId="{76407EE8-EA39-413A-A744-646352207DA1}" srcOrd="0" destOrd="0" presId="urn:microsoft.com/office/officeart/2005/8/layout/radial1"/>
    <dgm:cxn modelId="{858F6399-07D7-4E0A-A2EF-2B7E37BE3F5D}" type="presOf" srcId="{62B79412-EE37-44AE-8BE4-65FA273FAFED}" destId="{3842C3AC-072A-4417-98E9-D574DD91F9DF}" srcOrd="0" destOrd="0" presId="urn:microsoft.com/office/officeart/2005/8/layout/radial1"/>
    <dgm:cxn modelId="{05B6F527-38B8-48CB-8067-4BA61C574295}" type="presOf" srcId="{630AD566-52BB-4B9F-B9C5-7B9C6CE9BA49}" destId="{EB35F84E-FFDB-41FE-A7CD-F092D028658E}" srcOrd="1" destOrd="0" presId="urn:microsoft.com/office/officeart/2005/8/layout/radial1"/>
    <dgm:cxn modelId="{5111EA03-6532-406F-8E2B-F8614263AA96}" type="presOf" srcId="{BADE1C15-3698-4C37-84CD-2B055F8BD3F3}" destId="{A8B28BE6-94F7-472D-9AE9-CB9F8BADF1EF}" srcOrd="0" destOrd="0" presId="urn:microsoft.com/office/officeart/2005/8/layout/radial1"/>
    <dgm:cxn modelId="{C00766DE-468C-4F3E-887F-D40C8F731C2C}" srcId="{C37940CD-E7FF-484C-82E0-DA65536B9C33}" destId="{BADE1C15-3698-4C37-84CD-2B055F8BD3F3}" srcOrd="2" destOrd="0" parTransId="{E42B60BF-179E-463E-B431-7ED8FD3E1A45}" sibTransId="{07B9FBB2-E909-4BA8-8910-3DA7E5FBB250}"/>
    <dgm:cxn modelId="{4AA91F97-63D5-4500-9A19-28D69C2BD70F}" type="presOf" srcId="{8D4E1F12-ED7A-40B5-9996-87370A2BDE10}" destId="{DC8A0CB5-8B46-4020-9A6F-3FAAE9276DE1}" srcOrd="0" destOrd="0" presId="urn:microsoft.com/office/officeart/2005/8/layout/radial1"/>
    <dgm:cxn modelId="{0DCAC406-4D28-4049-89AD-F2672AFC1C46}" type="presOf" srcId="{8CE33A02-13C2-4C1B-998A-8EB7FE004694}" destId="{6DF2ADC9-34EA-4C7B-A46C-06418B3CA24A}" srcOrd="0" destOrd="0" presId="urn:microsoft.com/office/officeart/2005/8/layout/radial1"/>
    <dgm:cxn modelId="{1621F060-DBFF-4D0E-9637-7CF9E3869848}" type="presOf" srcId="{C5BBB377-FB46-4B19-8934-8540E37602A6}" destId="{0EB30B6A-146A-4662-B45A-F3CF14267B74}" srcOrd="1" destOrd="0" presId="urn:microsoft.com/office/officeart/2005/8/layout/radial1"/>
    <dgm:cxn modelId="{EE63E143-D629-45D9-9C31-767C3687762D}" type="presOf" srcId="{4B2C6577-82DF-4AC2-8F8C-C929678F6EDD}" destId="{2191DD46-71BB-424D-A88A-C8ECCCA2800E}" srcOrd="1" destOrd="0" presId="urn:microsoft.com/office/officeart/2005/8/layout/radial1"/>
    <dgm:cxn modelId="{BFEF4358-519B-472E-B262-9E0028C97F8D}" type="presOf" srcId="{9CA91C0E-06E1-4985-8E1F-490B451FE465}" destId="{F67A1042-2722-4638-8999-C914021B7862}" srcOrd="1" destOrd="0" presId="urn:microsoft.com/office/officeart/2005/8/layout/radial1"/>
    <dgm:cxn modelId="{21974C2E-0993-471E-9A65-69C15FE7142E}" srcId="{AF2D2F84-5C3B-4BC3-A716-168A40F5DF54}" destId="{C37940CD-E7FF-484C-82E0-DA65536B9C33}" srcOrd="0" destOrd="0" parTransId="{B8DCB245-8F94-4C70-A4AA-FF837D4B977E}" sibTransId="{8E727B08-F572-4EDF-8D10-26DD74D3A04B}"/>
    <dgm:cxn modelId="{EF4D4400-38A4-4183-A3E5-45119DF71B11}" srcId="{C37940CD-E7FF-484C-82E0-DA65536B9C33}" destId="{62B79412-EE37-44AE-8BE4-65FA273FAFED}" srcOrd="3" destOrd="0" parTransId="{4B2C6577-82DF-4AC2-8F8C-C929678F6EDD}" sibTransId="{8FC09536-E5FE-4893-9EE4-14A2ABC7B31E}"/>
    <dgm:cxn modelId="{3970E5F9-6425-4925-8D6B-C89D4C14470F}" srcId="{C37940CD-E7FF-484C-82E0-DA65536B9C33}" destId="{8D4E1F12-ED7A-40B5-9996-87370A2BDE10}" srcOrd="0" destOrd="0" parTransId="{B448CAE2-A0EA-481B-8BFE-AE0082300E73}" sibTransId="{F2CDF480-7A5C-4FEA-AEB2-5806E1A17B84}"/>
    <dgm:cxn modelId="{1F3F7D39-CF8F-4C32-ABF5-CAED2A392B3C}" type="presParOf" srcId="{204604FA-0B3F-4919-BDF2-746D687E1C32}" destId="{317FDF0C-9BA5-4CCF-8317-576669D3E0B5}" srcOrd="0" destOrd="0" presId="urn:microsoft.com/office/officeart/2005/8/layout/radial1"/>
    <dgm:cxn modelId="{ED2EC7AC-A8A7-4045-B3C3-DAC5FC119F4F}" type="presParOf" srcId="{204604FA-0B3F-4919-BDF2-746D687E1C32}" destId="{76407EE8-EA39-413A-A744-646352207DA1}" srcOrd="1" destOrd="0" presId="urn:microsoft.com/office/officeart/2005/8/layout/radial1"/>
    <dgm:cxn modelId="{DCB3C8F7-75F8-44A0-9972-31E3D5D19AC6}" type="presParOf" srcId="{76407EE8-EA39-413A-A744-646352207DA1}" destId="{2A73D6B1-4CF5-4BFA-9962-D1348E02B920}" srcOrd="0" destOrd="0" presId="urn:microsoft.com/office/officeart/2005/8/layout/radial1"/>
    <dgm:cxn modelId="{505878F2-E519-454D-9A54-0A24777666D7}" type="presParOf" srcId="{204604FA-0B3F-4919-BDF2-746D687E1C32}" destId="{DC8A0CB5-8B46-4020-9A6F-3FAAE9276DE1}" srcOrd="2" destOrd="0" presId="urn:microsoft.com/office/officeart/2005/8/layout/radial1"/>
    <dgm:cxn modelId="{E605CE6B-DFF3-4A40-9CF2-E4AD047AD424}" type="presParOf" srcId="{204604FA-0B3F-4919-BDF2-746D687E1C32}" destId="{C0E4A4B1-CD1F-4C32-871D-F17788804FE4}" srcOrd="3" destOrd="0" presId="urn:microsoft.com/office/officeart/2005/8/layout/radial1"/>
    <dgm:cxn modelId="{A1DC5CC7-8E50-4198-BBC0-BB140A318FE2}" type="presParOf" srcId="{C0E4A4B1-CD1F-4C32-871D-F17788804FE4}" destId="{EB35F84E-FFDB-41FE-A7CD-F092D028658E}" srcOrd="0" destOrd="0" presId="urn:microsoft.com/office/officeart/2005/8/layout/radial1"/>
    <dgm:cxn modelId="{F0F3008D-EE7B-4BE8-B3D4-227996817C3E}" type="presParOf" srcId="{204604FA-0B3F-4919-BDF2-746D687E1C32}" destId="{425A87D2-BD44-462D-80E0-6B0B5487B499}" srcOrd="4" destOrd="0" presId="urn:microsoft.com/office/officeart/2005/8/layout/radial1"/>
    <dgm:cxn modelId="{0CD8FFB4-7E9F-460F-8062-A083037685C0}" type="presParOf" srcId="{204604FA-0B3F-4919-BDF2-746D687E1C32}" destId="{2F5C348D-15F8-4467-9BF3-5DFFBDE3D6EC}" srcOrd="5" destOrd="0" presId="urn:microsoft.com/office/officeart/2005/8/layout/radial1"/>
    <dgm:cxn modelId="{34DEFA03-87AB-4270-BCC9-701533217340}" type="presParOf" srcId="{2F5C348D-15F8-4467-9BF3-5DFFBDE3D6EC}" destId="{EE35B813-C6E7-4D6C-BAC6-7D0765110490}" srcOrd="0" destOrd="0" presId="urn:microsoft.com/office/officeart/2005/8/layout/radial1"/>
    <dgm:cxn modelId="{FD38AF67-467C-4186-8B7D-3089BD34F25F}" type="presParOf" srcId="{204604FA-0B3F-4919-BDF2-746D687E1C32}" destId="{A8B28BE6-94F7-472D-9AE9-CB9F8BADF1EF}" srcOrd="6" destOrd="0" presId="urn:microsoft.com/office/officeart/2005/8/layout/radial1"/>
    <dgm:cxn modelId="{EC434A76-DC1D-4D76-B92C-6811A1136FD2}" type="presParOf" srcId="{204604FA-0B3F-4919-BDF2-746D687E1C32}" destId="{4CE04518-B13A-4DBE-832E-9529F5837354}" srcOrd="7" destOrd="0" presId="urn:microsoft.com/office/officeart/2005/8/layout/radial1"/>
    <dgm:cxn modelId="{B0285C3C-D44A-4CE4-BD4C-B9CCBDB1E540}" type="presParOf" srcId="{4CE04518-B13A-4DBE-832E-9529F5837354}" destId="{2191DD46-71BB-424D-A88A-C8ECCCA2800E}" srcOrd="0" destOrd="0" presId="urn:microsoft.com/office/officeart/2005/8/layout/radial1"/>
    <dgm:cxn modelId="{751BC349-CD93-413D-A054-CC39421B8B5F}" type="presParOf" srcId="{204604FA-0B3F-4919-BDF2-746D687E1C32}" destId="{3842C3AC-072A-4417-98E9-D574DD91F9DF}" srcOrd="8" destOrd="0" presId="urn:microsoft.com/office/officeart/2005/8/layout/radial1"/>
    <dgm:cxn modelId="{5D375030-4863-4BC2-8F2F-B9C3F1D527A8}" type="presParOf" srcId="{204604FA-0B3F-4919-BDF2-746D687E1C32}" destId="{2A81411C-6582-4135-8807-866350D3E731}" srcOrd="9" destOrd="0" presId="urn:microsoft.com/office/officeart/2005/8/layout/radial1"/>
    <dgm:cxn modelId="{7EE1C4C7-FA69-4D2A-AB13-25CB3A3DB55B}" type="presParOf" srcId="{2A81411C-6582-4135-8807-866350D3E731}" destId="{0EB30B6A-146A-4662-B45A-F3CF14267B74}" srcOrd="0" destOrd="0" presId="urn:microsoft.com/office/officeart/2005/8/layout/radial1"/>
    <dgm:cxn modelId="{7EAE9CB6-2241-410D-8943-54B419498134}" type="presParOf" srcId="{204604FA-0B3F-4919-BDF2-746D687E1C32}" destId="{6DF2ADC9-34EA-4C7B-A46C-06418B3CA24A}" srcOrd="10" destOrd="0" presId="urn:microsoft.com/office/officeart/2005/8/layout/radial1"/>
    <dgm:cxn modelId="{68F2DA78-0204-4D90-BBF3-67BAC4D95BC4}" type="presParOf" srcId="{204604FA-0B3F-4919-BDF2-746D687E1C32}" destId="{BD7A428E-8B52-49C2-8A54-72C3027CA302}" srcOrd="11" destOrd="0" presId="urn:microsoft.com/office/officeart/2005/8/layout/radial1"/>
    <dgm:cxn modelId="{9F2D4831-10D3-44A4-A015-C93A6935A757}" type="presParOf" srcId="{BD7A428E-8B52-49C2-8A54-72C3027CA302}" destId="{F67A1042-2722-4638-8999-C914021B7862}" srcOrd="0" destOrd="0" presId="urn:microsoft.com/office/officeart/2005/8/layout/radial1"/>
    <dgm:cxn modelId="{08C3C11B-E833-4195-813F-DDB23B94186A}" type="presParOf" srcId="{204604FA-0B3F-4919-BDF2-746D687E1C32}" destId="{700828C1-24FE-4E95-8FF3-69CB0A7364CB}" srcOrd="12" destOrd="0" presId="urn:microsoft.com/office/officeart/2005/8/layout/radial1"/>
  </dgm:cxnLst>
  <dgm:bg/>
  <dgm:whole/>
</dgm:dataModel>
</file>

<file path=word/diagrams/layout1.xml><?xml version="1.0" encoding="utf-8"?>
<dgm:layoutDef xmlns:dgm="http://schemas.openxmlformats.org/drawingml/2006/diagram" xmlns:a="http://schemas.openxmlformats.org/drawingml/2006/main" uniqueId="urn:microsoft.com/office/officeart/2005/8/layout/radial1">
  <dgm:title val=""/>
  <dgm:desc val=""/>
  <dgm:catLst>
    <dgm:cat type="relationship" pri="22000"/>
    <dgm:cat type="cycle" pri="10000"/>
  </dgm:catLst>
  <dgm:sampData>
    <dgm:dataModel>
      <dgm:ptLst>
        <dgm:pt modelId="0" type="doc"/>
        <dgm:pt modelId="1">
          <dgm:prSet phldr="1"/>
        </dgm:pt>
        <dgm:pt modelId="11">
          <dgm:prSet phldr="1"/>
        </dgm:pt>
        <dgm:pt modelId="12">
          <dgm:prSet phldr="1"/>
        </dgm:pt>
        <dgm:pt modelId="13">
          <dgm:prSet phldr="1"/>
        </dgm:pt>
        <dgm:pt modelId="14">
          <dgm:prSet phldr="1"/>
        </dgm:pt>
      </dgm:ptLst>
      <dgm:cxnLst>
        <dgm:cxn modelId="2" srcId="0" destId="1" srcOrd="0" destOrd="0"/>
        <dgm:cxn modelId="3" srcId="1" destId="11" srcOrd="0" destOrd="0"/>
        <dgm:cxn modelId="4" srcId="1" destId="12" srcOrd="1" destOrd="0"/>
        <dgm:cxn modelId="5" srcId="1" destId="13" srcOrd="2" destOrd="0"/>
        <dgm:cxn modelId="6" srcId="1" destId="14" srcOrd="3" destOrd="0"/>
      </dgm:cxnLst>
      <dgm:bg/>
      <dgm:whole/>
    </dgm:dataModel>
  </dgm:sampData>
  <dgm:styleData>
    <dgm:dataModel>
      <dgm:ptLst>
        <dgm:pt modelId="0" type="doc"/>
        <dgm:pt modelId="1"/>
        <dgm:pt modelId="11"/>
        <dgm:pt modelId="12"/>
        <dgm:pt modelId="13"/>
      </dgm:ptLst>
      <dgm:cxnLst>
        <dgm:cxn modelId="2" srcId="0" destId="1" srcOrd="0" destOrd="0"/>
        <dgm:cxn modelId="15" srcId="1" destId="11" srcOrd="0" destOrd="0"/>
        <dgm:cxn modelId="16" srcId="1" destId="12" srcOrd="1" destOrd="0"/>
        <dgm:cxn modelId="17" srcId="1" destId="13" srcOrd="2" destOrd="0"/>
      </dgm:cxnLst>
      <dgm:bg/>
      <dgm:whole/>
    </dgm:dataModel>
  </dgm:styleData>
  <dgm:clrData>
    <dgm:dataModel>
      <dgm:ptLst>
        <dgm:pt modelId="0" type="doc"/>
        <dgm:pt modelId="1"/>
        <dgm:pt modelId="11"/>
        <dgm:pt modelId="12"/>
        <dgm:pt modelId="13"/>
        <dgm:pt modelId="14"/>
        <dgm:pt modelId="15"/>
        <dgm:pt modelId="16"/>
      </dgm:ptLst>
      <dgm:cxnLst>
        <dgm:cxn modelId="2" srcId="0" destId="1" srcOrd="0" destOrd="0"/>
        <dgm:cxn modelId="16" srcId="1" destId="11" srcOrd="0" destOrd="0"/>
        <dgm:cxn modelId="17" srcId="1" destId="12" srcOrd="1" destOrd="0"/>
        <dgm:cxn modelId="18" srcId="1" destId="13" srcOrd="2" destOrd="0"/>
        <dgm:cxn modelId="19" srcId="1" destId="14" srcOrd="3" destOrd="0"/>
        <dgm:cxn modelId="20" srcId="1" destId="15" srcOrd="4" destOrd="0"/>
        <dgm:cxn modelId="21" srcId="1" destId="16" srcOrd="5" destOrd="0"/>
      </dgm:cxnLst>
      <dgm:bg/>
      <dgm:whole/>
    </dgm:dataModel>
  </dgm:clrData>
  <dgm:layoutNode name="cycle">
    <dgm:varLst>
      <dgm:chMax val="1"/>
      <dgm:dir/>
      <dgm:animLvl val="ctr"/>
      <dgm:resizeHandles val="exact"/>
    </dgm:varLst>
    <dgm:choose name="Name0">
      <dgm:if name="Name1" func="var" arg="dir" op="equ" val="norm">
        <dgm:choose name="Name2">
          <dgm:if name="Name3" axis="ch ch" ptType="node node" st="1 1" cnt="1 0" func="cnt" op="lte" val="1">
            <dgm:alg type="cycle">
              <dgm:param type="stAng" val="90"/>
              <dgm:param type="spanAng" val="360"/>
              <dgm:param type="ctrShpMap" val="fNode"/>
            </dgm:alg>
          </dgm:if>
          <dgm:else name="Name4">
            <dgm:alg type="cycle">
              <dgm:param type="stAng" val="0"/>
              <dgm:param type="spanAng" val="360"/>
              <dgm:param type="ctrShpMap" val="fNode"/>
            </dgm:alg>
          </dgm:else>
        </dgm:choose>
      </dgm:if>
      <dgm:else name="Name5">
        <dgm:alg type="cycle">
          <dgm:param type="stAng" val="0"/>
          <dgm:param type="spanAng" val="-360"/>
          <dgm:param type="ctrShpMap" val="fNode"/>
        </dgm:alg>
      </dgm:else>
    </dgm:choose>
    <dgm:shape xmlns:r="http://schemas.openxmlformats.org/officeDocument/2006/relationships" r:blip="">
      <dgm:adjLst/>
    </dgm:shape>
    <dgm:presOf/>
    <dgm:constrLst>
      <dgm:constr type="w" for="ch" forName="centerShape" refType="w"/>
      <dgm:constr type="w" for="ch" forName="node" refType="w" refFor="ch" refForName="centerShape" op="equ"/>
      <dgm:constr type="sp" refType="w" refFor="ch" refForName="node" fact="0.3"/>
      <dgm:constr type="sibSp" refType="w" refFor="ch" refForName="node" fact="0.3"/>
      <dgm:constr type="primFontSz" for="ch" forName="centerShape" val="65"/>
      <dgm:constr type="primFontSz" for="des" forName="node" op="equ" val="65"/>
      <dgm:constr type="primFontSz" for="des" forName="connTx" val="55"/>
      <dgm:constr type="primFontSz" for="des" forName="connTx" refType="primFontSz" refFor="ch" refForName="centerShape" op="lte" fact="0.8"/>
    </dgm:constrLst>
    <dgm:ruleLst/>
    <dgm:forEach name="Name6" axis="ch" ptType="node" cnt="1">
      <dgm:layoutNode name="centerShape" styleLbl="node0">
        <dgm:alg type="tx"/>
        <dgm:shape xmlns:r="http://schemas.openxmlformats.org/officeDocument/2006/relationships" type="ellipse" r:blip="">
          <dgm:adjLst/>
        </dgm:shape>
        <dgm:presOf axis="self"/>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name="Name7" axis="ch">
        <dgm:forEach name="Name8" axis="self" ptType="parTrans">
          <dgm:layoutNode name="Name9">
            <dgm:alg type="conn">
              <dgm:param type="dim" val="1D"/>
              <dgm:param type="begPts" val="auto"/>
              <dgm:param type="endPts" val="auto"/>
              <dgm:param type="begSty" val="noArr"/>
              <dgm:param type="endSty" val="noArr"/>
            </dgm:alg>
            <dgm:shape xmlns:r="http://schemas.openxmlformats.org/officeDocument/2006/relationships" type="conn" r:blip="">
              <dgm:adjLst/>
            </dgm:shape>
            <dgm:presOf axis="self"/>
            <dgm:constrLst>
              <dgm:constr type="connDist"/>
              <dgm:constr type="userA" for="ch" refType="connDist"/>
              <dgm:constr type="w" val="1"/>
              <dgm:constr type="h" val="5"/>
              <dgm:constr type="begPad"/>
              <dgm:constr type="endPad"/>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w" val="NaN" fact="0.8" max="NaN"/>
                <dgm:rule type="h" val="NaN" fact="1" max="NaN"/>
                <dgm:rule type="primFontSz" val="5" fact="NaN" max="NaN"/>
              </dgm:ruleLst>
            </dgm:layoutNode>
          </dgm:layoutNode>
        </dgm:forEach>
        <dgm:forEach name="Name10" axis="self" ptType="node">
          <dgm:layoutNode name="node" styleLbl="node1">
            <dgm:varLst>
              <dgm:bulletEnabled val="1"/>
            </dgm:varLst>
            <dgm:alg type="tx">
              <dgm:param type="txAnchorVertCh" val="mid"/>
            </dgm:alg>
            <dgm:shape xmlns:r="http://schemas.openxmlformats.org/officeDocument/2006/relationships" type="ellipse" r:blip="">
              <dgm:adjLst/>
            </dgm:shape>
            <dgm:presOf axis="desOrSelf" ptType="node"/>
            <dgm:constrLst>
              <dgm:constr type="h" refType="w"/>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forEach>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1</Pages>
  <Words>2948</Words>
  <Characters>16805</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19714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Annie</cp:lastModifiedBy>
  <cp:revision>34</cp:revision>
  <cp:lastPrinted>2009-11-10T10:34:00Z</cp:lastPrinted>
  <dcterms:created xsi:type="dcterms:W3CDTF">2009-11-10T07:47:00Z</dcterms:created>
  <dcterms:modified xsi:type="dcterms:W3CDTF">2009-11-10T10:35:00Z</dcterms:modified>
</cp:coreProperties>
</file>